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1B1" w:rsidRPr="009E600F" w:rsidRDefault="00AE30EA" w:rsidP="009E600F">
      <w:pPr>
        <w:pStyle w:val="Heading1"/>
      </w:pPr>
      <w:r>
        <w:t xml:space="preserve">3. </w:t>
      </w:r>
      <w:r w:rsidR="00E170A2">
        <w:t>Complaints and Appeals</w:t>
      </w:r>
      <w:r w:rsidR="000536B9">
        <w:t xml:space="preserve"> Procedure</w:t>
      </w:r>
      <w:r w:rsidR="00762DAC">
        <w:t>s</w:t>
      </w:r>
    </w:p>
    <w:p w:rsidR="00853286" w:rsidRPr="00044FA6" w:rsidRDefault="00853286" w:rsidP="009E600F">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1247"/>
        <w:gridCol w:w="5714"/>
        <w:gridCol w:w="4353"/>
      </w:tblGrid>
      <w:tr w:rsidR="000042DB" w:rsidRPr="00044FA6">
        <w:tc>
          <w:tcPr>
            <w:tcW w:w="2660" w:type="dxa"/>
          </w:tcPr>
          <w:p w:rsidR="000042DB" w:rsidRPr="00044FA6" w:rsidRDefault="000042DB" w:rsidP="009E600F">
            <w:pPr>
              <w:pStyle w:val="Header"/>
            </w:pPr>
            <w:r w:rsidRPr="00044FA6">
              <w:t>Governing p</w:t>
            </w:r>
            <w:r w:rsidR="007C2D4B" w:rsidRPr="00044FA6">
              <w:t>olicy</w:t>
            </w:r>
            <w:r w:rsidRPr="00044FA6">
              <w:t>:</w:t>
            </w:r>
          </w:p>
        </w:tc>
        <w:tc>
          <w:tcPr>
            <w:tcW w:w="11516" w:type="dxa"/>
            <w:gridSpan w:val="3"/>
          </w:tcPr>
          <w:p w:rsidR="000042DB" w:rsidRPr="00044FA6" w:rsidRDefault="00A86E94" w:rsidP="009E600F">
            <w:pPr>
              <w:pStyle w:val="Header"/>
            </w:pPr>
            <w:r>
              <w:t>CONTINUOUS IMPROVEMENT</w:t>
            </w:r>
          </w:p>
        </w:tc>
      </w:tr>
      <w:tr w:rsidR="000042DB" w:rsidRPr="00044FA6">
        <w:tc>
          <w:tcPr>
            <w:tcW w:w="2660" w:type="dxa"/>
          </w:tcPr>
          <w:p w:rsidR="000042DB" w:rsidRPr="009E600F" w:rsidRDefault="009E600F" w:rsidP="009E600F">
            <w:pPr>
              <w:pStyle w:val="Header"/>
            </w:pPr>
            <w:r>
              <w:t>Associated Documentation</w:t>
            </w:r>
          </w:p>
        </w:tc>
        <w:tc>
          <w:tcPr>
            <w:tcW w:w="11516" w:type="dxa"/>
            <w:gridSpan w:val="3"/>
          </w:tcPr>
          <w:p w:rsidR="00A86E94" w:rsidRDefault="006C4F94" w:rsidP="009E600F">
            <w:pPr>
              <w:pStyle w:val="Header"/>
              <w:rPr>
                <w:lang w:bidi="en-US"/>
              </w:rPr>
            </w:pPr>
            <w:r>
              <w:rPr>
                <w:lang w:bidi="en-US"/>
              </w:rPr>
              <w:t xml:space="preserve">Record of Student Complaints and </w:t>
            </w:r>
            <w:r w:rsidR="00E170A2">
              <w:rPr>
                <w:lang w:bidi="en-US"/>
              </w:rPr>
              <w:t>Appeal</w:t>
            </w:r>
            <w:r>
              <w:rPr>
                <w:lang w:bidi="en-US"/>
              </w:rPr>
              <w:t xml:space="preserve">s </w:t>
            </w:r>
          </w:p>
          <w:p w:rsidR="00AF01FA" w:rsidRDefault="00AF01FA" w:rsidP="009E600F">
            <w:pPr>
              <w:pStyle w:val="Header"/>
              <w:rPr>
                <w:lang w:bidi="en-US"/>
              </w:rPr>
            </w:pPr>
            <w:r>
              <w:rPr>
                <w:lang w:bidi="en-US"/>
              </w:rPr>
              <w:t>Continuous Improvement Log</w:t>
            </w:r>
          </w:p>
          <w:p w:rsidR="005F2B30" w:rsidRDefault="005F2B30" w:rsidP="009E600F">
            <w:pPr>
              <w:pStyle w:val="Header"/>
              <w:rPr>
                <w:lang w:bidi="en-US"/>
              </w:rPr>
            </w:pPr>
            <w:r>
              <w:rPr>
                <w:lang w:bidi="en-US"/>
              </w:rPr>
              <w:t>2018-19 Standard VET Funding Contract Skills First Program- Clause 12 and Clause 1.6 of Schedule 1</w:t>
            </w:r>
          </w:p>
          <w:p w:rsidR="005F2B30" w:rsidRPr="00044FA6" w:rsidRDefault="005F2B30" w:rsidP="009E600F">
            <w:pPr>
              <w:pStyle w:val="Header"/>
              <w:rPr>
                <w:lang w:bidi="en-US"/>
              </w:rPr>
            </w:pPr>
            <w:r>
              <w:rPr>
                <w:lang w:bidi="en-US"/>
              </w:rPr>
              <w:t xml:space="preserve">2018 Skills First Quality Charter </w:t>
            </w:r>
          </w:p>
        </w:tc>
      </w:tr>
      <w:tr w:rsidR="000042DB" w:rsidRPr="00044FA6">
        <w:tc>
          <w:tcPr>
            <w:tcW w:w="2660" w:type="dxa"/>
            <w:shd w:val="clear" w:color="auto" w:fill="FFFFFF"/>
          </w:tcPr>
          <w:p w:rsidR="000042DB" w:rsidRPr="00044FA6" w:rsidRDefault="000042DB" w:rsidP="009E600F">
            <w:r w:rsidRPr="00044FA6">
              <w:t>Re</w:t>
            </w:r>
            <w:r w:rsidR="009771A9" w:rsidRPr="00044FA6">
              <w:t>cords</w:t>
            </w:r>
            <w:r w:rsidRPr="00044FA6">
              <w:t>:</w:t>
            </w:r>
          </w:p>
        </w:tc>
        <w:tc>
          <w:tcPr>
            <w:tcW w:w="11516" w:type="dxa"/>
            <w:gridSpan w:val="3"/>
            <w:shd w:val="clear" w:color="auto" w:fill="FFFFFF"/>
          </w:tcPr>
          <w:p w:rsidR="000042DB" w:rsidRPr="00044FA6" w:rsidRDefault="00066199" w:rsidP="009E600F">
            <w:pPr>
              <w:pStyle w:val="Header"/>
            </w:pPr>
            <w:r>
              <w:t xml:space="preserve">Nil </w:t>
            </w:r>
          </w:p>
        </w:tc>
      </w:tr>
      <w:tr w:rsidR="000042DB" w:rsidRPr="00044FA6">
        <w:tc>
          <w:tcPr>
            <w:tcW w:w="2660" w:type="dxa"/>
            <w:shd w:val="clear" w:color="auto" w:fill="FFFFFF"/>
          </w:tcPr>
          <w:p w:rsidR="000042DB" w:rsidRPr="00044FA6" w:rsidRDefault="000042DB" w:rsidP="009E600F">
            <w:r w:rsidRPr="00044FA6">
              <w:t>Definitions:</w:t>
            </w:r>
          </w:p>
        </w:tc>
        <w:tc>
          <w:tcPr>
            <w:tcW w:w="11516" w:type="dxa"/>
            <w:gridSpan w:val="3"/>
            <w:shd w:val="clear" w:color="auto" w:fill="FFFFFF"/>
          </w:tcPr>
          <w:p w:rsidR="000042DB" w:rsidRPr="00044FA6" w:rsidRDefault="009E600F" w:rsidP="009E600F">
            <w:pPr>
              <w:pStyle w:val="Header"/>
            </w:pPr>
            <w:r>
              <w:t>Nil</w:t>
            </w:r>
          </w:p>
        </w:tc>
      </w:tr>
      <w:tr w:rsidR="009E600F" w:rsidRPr="00044FA6">
        <w:tc>
          <w:tcPr>
            <w:tcW w:w="3936" w:type="dxa"/>
            <w:gridSpan w:val="2"/>
          </w:tcPr>
          <w:p w:rsidR="009E600F" w:rsidRPr="00044FA6" w:rsidRDefault="009E600F" w:rsidP="001C0C0B">
            <w:pPr>
              <w:pStyle w:val="Header"/>
            </w:pPr>
            <w:r w:rsidRPr="00044FA6">
              <w:t>Approval date:</w:t>
            </w:r>
            <w:r>
              <w:t xml:space="preserve">  </w:t>
            </w:r>
            <w:r w:rsidR="001C0C0B">
              <w:t>7</w:t>
            </w:r>
            <w:r w:rsidR="00587844">
              <w:t>/</w:t>
            </w:r>
            <w:r w:rsidR="001C0C0B">
              <w:t>12</w:t>
            </w:r>
            <w:r w:rsidR="00587844">
              <w:t>/201</w:t>
            </w:r>
            <w:r w:rsidR="00C72684">
              <w:t>8</w:t>
            </w:r>
          </w:p>
        </w:tc>
        <w:tc>
          <w:tcPr>
            <w:tcW w:w="5810" w:type="dxa"/>
            <w:tcBorders>
              <w:bottom w:val="single" w:sz="4" w:space="0" w:color="auto"/>
            </w:tcBorders>
          </w:tcPr>
          <w:p w:rsidR="009E600F" w:rsidRPr="00044FA6" w:rsidRDefault="009E600F" w:rsidP="001C0C0B">
            <w:pPr>
              <w:pStyle w:val="Header"/>
            </w:pPr>
            <w:r>
              <w:t xml:space="preserve">Implementation Date:  </w:t>
            </w:r>
            <w:r w:rsidR="001C0C0B">
              <w:t>7</w:t>
            </w:r>
            <w:r>
              <w:t>/</w:t>
            </w:r>
            <w:r w:rsidR="001C0C0B">
              <w:t>12</w:t>
            </w:r>
            <w:r w:rsidR="00DE494B">
              <w:t>/201</w:t>
            </w:r>
            <w:r w:rsidR="00C72684">
              <w:t>8</w:t>
            </w:r>
          </w:p>
        </w:tc>
        <w:tc>
          <w:tcPr>
            <w:tcW w:w="4430" w:type="dxa"/>
            <w:tcBorders>
              <w:bottom w:val="single" w:sz="4" w:space="0" w:color="auto"/>
            </w:tcBorders>
          </w:tcPr>
          <w:p w:rsidR="009E600F" w:rsidRPr="00044FA6" w:rsidRDefault="009E600F" w:rsidP="009E600F">
            <w:pPr>
              <w:pStyle w:val="Header"/>
            </w:pPr>
            <w:r w:rsidRPr="00044FA6">
              <w:t>Approved by:</w:t>
            </w:r>
            <w:r>
              <w:t xml:space="preserve"> </w:t>
            </w:r>
            <w:r w:rsidR="000512CD">
              <w:t xml:space="preserve"> CEO</w:t>
            </w:r>
          </w:p>
        </w:tc>
      </w:tr>
      <w:tr w:rsidR="009E600F" w:rsidRPr="00044FA6">
        <w:tc>
          <w:tcPr>
            <w:tcW w:w="3936" w:type="dxa"/>
            <w:gridSpan w:val="2"/>
            <w:tcBorders>
              <w:bottom w:val="single" w:sz="4" w:space="0" w:color="auto"/>
            </w:tcBorders>
          </w:tcPr>
          <w:p w:rsidR="009E600F" w:rsidRPr="00044FA6" w:rsidRDefault="009E600F" w:rsidP="001C0C0B">
            <w:pPr>
              <w:pStyle w:val="Header"/>
            </w:pPr>
            <w:r w:rsidRPr="00044FA6">
              <w:t>Next review date:</w:t>
            </w:r>
            <w:r>
              <w:t xml:space="preserve">  </w:t>
            </w:r>
            <w:r w:rsidR="001C0C0B">
              <w:t>7</w:t>
            </w:r>
            <w:r w:rsidR="00DE494B">
              <w:t>/</w:t>
            </w:r>
            <w:r w:rsidR="001C0C0B">
              <w:t>12</w:t>
            </w:r>
            <w:r w:rsidR="00DE494B">
              <w:t>/201</w:t>
            </w:r>
            <w:r w:rsidR="00C72684">
              <w:t>9</w:t>
            </w:r>
          </w:p>
        </w:tc>
        <w:tc>
          <w:tcPr>
            <w:tcW w:w="10240" w:type="dxa"/>
            <w:gridSpan w:val="2"/>
            <w:vMerge w:val="restart"/>
            <w:tcBorders>
              <w:bottom w:val="nil"/>
              <w:right w:val="nil"/>
            </w:tcBorders>
          </w:tcPr>
          <w:p w:rsidR="009E600F" w:rsidRPr="00044FA6" w:rsidRDefault="009E600F" w:rsidP="009E600F">
            <w:pPr>
              <w:pStyle w:val="Header"/>
              <w:rPr>
                <w:rFonts w:ascii="Arial Narrow" w:hAnsi="Arial Narrow" w:cs="Tahoma"/>
              </w:rPr>
            </w:pPr>
          </w:p>
        </w:tc>
      </w:tr>
      <w:tr w:rsidR="009E600F" w:rsidRPr="00044FA6">
        <w:tc>
          <w:tcPr>
            <w:tcW w:w="3936" w:type="dxa"/>
            <w:gridSpan w:val="2"/>
            <w:tcBorders>
              <w:left w:val="nil"/>
              <w:bottom w:val="nil"/>
              <w:right w:val="nil"/>
            </w:tcBorders>
          </w:tcPr>
          <w:p w:rsidR="009E600F" w:rsidRPr="00044FA6" w:rsidRDefault="009E600F" w:rsidP="009E600F">
            <w:pPr>
              <w:pStyle w:val="Header"/>
            </w:pPr>
          </w:p>
        </w:tc>
        <w:tc>
          <w:tcPr>
            <w:tcW w:w="10240" w:type="dxa"/>
            <w:gridSpan w:val="2"/>
            <w:vMerge/>
            <w:tcBorders>
              <w:left w:val="nil"/>
              <w:bottom w:val="nil"/>
              <w:right w:val="nil"/>
            </w:tcBorders>
          </w:tcPr>
          <w:p w:rsidR="009E600F" w:rsidRPr="00044FA6" w:rsidRDefault="009E600F" w:rsidP="009E600F">
            <w:pPr>
              <w:pStyle w:val="Header"/>
            </w:pPr>
          </w:p>
        </w:tc>
      </w:tr>
      <w:tr w:rsidR="009E600F" w:rsidRPr="00044FA6">
        <w:tc>
          <w:tcPr>
            <w:tcW w:w="3936" w:type="dxa"/>
            <w:gridSpan w:val="2"/>
            <w:tcBorders>
              <w:top w:val="nil"/>
              <w:left w:val="nil"/>
              <w:bottom w:val="nil"/>
              <w:right w:val="nil"/>
            </w:tcBorders>
          </w:tcPr>
          <w:p w:rsidR="009E600F" w:rsidRPr="00044FA6" w:rsidRDefault="009E600F" w:rsidP="009E600F">
            <w:pPr>
              <w:pStyle w:val="Header"/>
            </w:pPr>
          </w:p>
        </w:tc>
        <w:tc>
          <w:tcPr>
            <w:tcW w:w="10240" w:type="dxa"/>
            <w:gridSpan w:val="2"/>
            <w:vMerge/>
            <w:tcBorders>
              <w:left w:val="nil"/>
              <w:bottom w:val="nil"/>
              <w:right w:val="nil"/>
            </w:tcBorders>
          </w:tcPr>
          <w:p w:rsidR="009E600F" w:rsidRPr="00044FA6" w:rsidRDefault="009E600F" w:rsidP="009E600F">
            <w:pPr>
              <w:pStyle w:val="Header"/>
            </w:pPr>
          </w:p>
        </w:tc>
      </w:tr>
    </w:tbl>
    <w:p w:rsidR="000042DB" w:rsidRPr="00044FA6" w:rsidRDefault="000042DB" w:rsidP="009E600F">
      <w:pPr>
        <w:pStyle w:val="Header"/>
      </w:pPr>
    </w:p>
    <w:p w:rsidR="000042DB" w:rsidRPr="00044FA6" w:rsidRDefault="000042DB" w:rsidP="009E600F">
      <w:pPr>
        <w:pStyle w:val="Header"/>
      </w:pPr>
    </w:p>
    <w:p w:rsidR="000042DB" w:rsidRPr="00044FA6" w:rsidRDefault="000042DB" w:rsidP="009E600F"/>
    <w:p w:rsidR="00434581" w:rsidRPr="00044FA6" w:rsidRDefault="00434581" w:rsidP="009E600F">
      <w:r w:rsidRPr="00044FA6">
        <w:t xml:space="preserve"> </w:t>
      </w:r>
    </w:p>
    <w:p w:rsidR="006451B1" w:rsidRPr="009E600F" w:rsidRDefault="006451B1" w:rsidP="009E600F">
      <w:pPr>
        <w:jc w:val="center"/>
        <w:rPr>
          <w:sz w:val="16"/>
          <w:szCs w:val="16"/>
        </w:rPr>
      </w:pPr>
      <w:r w:rsidRPr="009E600F">
        <w:rPr>
          <w:sz w:val="16"/>
          <w:szCs w:val="16"/>
        </w:rPr>
        <w:t>Uncontrolled copy when printed</w:t>
      </w:r>
    </w:p>
    <w:p w:rsidR="006451B1" w:rsidRPr="00044FA6" w:rsidRDefault="006451B1" w:rsidP="009E600F">
      <w:pPr>
        <w:pStyle w:val="Header"/>
      </w:pPr>
    </w:p>
    <w:p w:rsidR="003E44FB" w:rsidRPr="00044FA6" w:rsidRDefault="003E44FB" w:rsidP="009E600F">
      <w:pPr>
        <w:pStyle w:val="Heading1"/>
        <w:sectPr w:rsidR="003E44FB" w:rsidRPr="00044FA6" w:rsidSect="0009459C">
          <w:headerReference w:type="default" r:id="rId8"/>
          <w:footerReference w:type="default" r:id="rId9"/>
          <w:pgSz w:w="16840" w:h="11907" w:orient="landscape" w:code="9"/>
          <w:pgMar w:top="1440" w:right="1440" w:bottom="1440" w:left="1440" w:header="720" w:footer="720" w:gutter="0"/>
          <w:cols w:space="720"/>
          <w:noEndnote/>
          <w:docGrid w:linePitch="326"/>
        </w:sectPr>
      </w:pPr>
    </w:p>
    <w:p w:rsidR="00EC5C79" w:rsidRPr="00044FA6" w:rsidRDefault="00E170A2" w:rsidP="009E600F">
      <w:pPr>
        <w:pStyle w:val="Heading1"/>
      </w:pPr>
      <w:r>
        <w:lastRenderedPageBreak/>
        <w:t xml:space="preserve">Complaints </w:t>
      </w:r>
      <w:r w:rsidR="009E600F">
        <w:t>- Procedure</w:t>
      </w:r>
    </w:p>
    <w:p w:rsidR="006451B1" w:rsidRPr="009E600F" w:rsidRDefault="006451B1" w:rsidP="00762DD0">
      <w:pPr>
        <w:pStyle w:val="Heading2"/>
        <w:jc w:val="center"/>
        <w:rPr>
          <w:b w:val="0"/>
          <w:sz w:val="16"/>
          <w:szCs w:val="16"/>
        </w:rPr>
      </w:pPr>
      <w:r w:rsidRPr="009E600F">
        <w:rPr>
          <w:b w:val="0"/>
          <w:sz w:val="16"/>
          <w:szCs w:val="16"/>
        </w:rPr>
        <w:t>Uncontrolled copy when printed</w:t>
      </w:r>
    </w:p>
    <w:p w:rsidR="006451B1" w:rsidRDefault="00C33959" w:rsidP="00762DD0">
      <w:r>
        <w:t xml:space="preserve">The complaints and appeals policy and procedure </w:t>
      </w:r>
      <w:r w:rsidR="008435AF">
        <w:t>discusses the actions that are required to be taken in the event of a student concern, complaint or appeal. Parker Brent aim to provide a constructive resolution for all parties in a</w:t>
      </w:r>
      <w:r w:rsidR="00BF3DD5">
        <w:t>n effective and</w:t>
      </w:r>
      <w:r w:rsidR="008435AF">
        <w:t xml:space="preserve"> timely </w:t>
      </w:r>
      <w:r w:rsidR="00BF3DD5">
        <w:t xml:space="preserve">manner where possible. </w:t>
      </w:r>
      <w:r w:rsidR="00E10F65">
        <w:t>The policy applies to students, staff, third parties and external parties where there are instances of hardship, concern or distress or where an appeal is required against an assessment decision or against a complaint outcome. A complaint from Parker Brent students, staff or external parties can be made about:</w:t>
      </w:r>
    </w:p>
    <w:p w:rsidR="00E10F65" w:rsidRDefault="00F20E2A" w:rsidP="00E10F65">
      <w:pPr>
        <w:pStyle w:val="ListParagraph"/>
        <w:numPr>
          <w:ilvl w:val="0"/>
          <w:numId w:val="27"/>
        </w:numPr>
      </w:pPr>
      <w:r>
        <w:t>a</w:t>
      </w:r>
      <w:r w:rsidR="00E10F65">
        <w:t xml:space="preserve">ny training product or services </w:t>
      </w:r>
    </w:p>
    <w:p w:rsidR="00E10F65" w:rsidRDefault="00F20E2A" w:rsidP="00E10F65">
      <w:pPr>
        <w:pStyle w:val="ListParagraph"/>
        <w:numPr>
          <w:ilvl w:val="0"/>
          <w:numId w:val="27"/>
        </w:numPr>
      </w:pPr>
      <w:r>
        <w:t xml:space="preserve">a </w:t>
      </w:r>
      <w:r w:rsidR="00E10F65">
        <w:t xml:space="preserve">trainer/assessor or a particular staff member </w:t>
      </w:r>
    </w:p>
    <w:p w:rsidR="00E10F65" w:rsidRDefault="00F20E2A" w:rsidP="00E10F65">
      <w:pPr>
        <w:pStyle w:val="ListParagraph"/>
        <w:numPr>
          <w:ilvl w:val="0"/>
          <w:numId w:val="27"/>
        </w:numPr>
      </w:pPr>
      <w:r>
        <w:t>a</w:t>
      </w:r>
      <w:r w:rsidR="006B45B8">
        <w:t xml:space="preserve"> third party that provided training services on Parker Brent’s behalf </w:t>
      </w:r>
    </w:p>
    <w:p w:rsidR="00FA1D43" w:rsidRDefault="00F20E2A" w:rsidP="00E10F65">
      <w:pPr>
        <w:pStyle w:val="ListParagraph"/>
        <w:numPr>
          <w:ilvl w:val="0"/>
          <w:numId w:val="27"/>
        </w:numPr>
      </w:pPr>
      <w:r>
        <w:t xml:space="preserve">a </w:t>
      </w:r>
      <w:r w:rsidR="00FA1D43">
        <w:t>student</w:t>
      </w:r>
    </w:p>
    <w:p w:rsidR="00FA1D43" w:rsidRDefault="00F20E2A" w:rsidP="00E10F65">
      <w:pPr>
        <w:pStyle w:val="ListParagraph"/>
        <w:numPr>
          <w:ilvl w:val="0"/>
          <w:numId w:val="27"/>
        </w:numPr>
      </w:pPr>
      <w:r>
        <w:t>a</w:t>
      </w:r>
      <w:r w:rsidR="00FA1D43">
        <w:t>n academic issue where the current, past or prospective student feels they are being disadvantaged in the training product or service they are undertaking, have undertaken or would like to undertake</w:t>
      </w:r>
    </w:p>
    <w:p w:rsidR="00FA1D43" w:rsidRDefault="00FA1D43" w:rsidP="00FA1D43">
      <w:r>
        <w:t xml:space="preserve">The Complainant/Appellant are entitled to access this complaints and appeals procedure regardless of the venue location where the complaint or appeal has arisen, the mode in which they are studying </w:t>
      </w:r>
      <w:r w:rsidR="00C447B8">
        <w:t xml:space="preserve">or place of residence (Victoria only).  This policy and procedure is made available </w:t>
      </w:r>
      <w:r w:rsidR="0005585C">
        <w:t xml:space="preserve">on the Parker Brent website, Student Handbook and information is provided to staff and students at induction. </w:t>
      </w:r>
    </w:p>
    <w:p w:rsidR="0005585C" w:rsidRDefault="0005585C" w:rsidP="00FA1D43">
      <w:r>
        <w:t xml:space="preserve">Parker Brent staff and trainers are advised of the Complaints and Appeals policy and procedure upon commencement of employment during their induction. </w:t>
      </w:r>
    </w:p>
    <w:p w:rsidR="0005585C" w:rsidRDefault="0005585C" w:rsidP="00FA1D43">
      <w:r>
        <w:t>Parker Brent will ensure that:</w:t>
      </w:r>
    </w:p>
    <w:p w:rsidR="0005585C" w:rsidRDefault="0005585C" w:rsidP="0005585C">
      <w:pPr>
        <w:pStyle w:val="ListParagraph"/>
        <w:numPr>
          <w:ilvl w:val="0"/>
          <w:numId w:val="27"/>
        </w:numPr>
      </w:pPr>
      <w:r>
        <w:t xml:space="preserve">any complaints and appeals are responded to promptly, with minimum distress and maximum protection to all parties. </w:t>
      </w:r>
    </w:p>
    <w:p w:rsidR="0005585C" w:rsidRDefault="00F20E2A" w:rsidP="0005585C">
      <w:pPr>
        <w:pStyle w:val="ListParagraph"/>
        <w:numPr>
          <w:ilvl w:val="0"/>
          <w:numId w:val="27"/>
        </w:numPr>
      </w:pPr>
      <w:r>
        <w:t>a</w:t>
      </w:r>
      <w:r w:rsidR="0005585C">
        <w:t>ll complaints and appeals will be managed in an ethical and fair manner to achieve mutually acce</w:t>
      </w:r>
      <w:r w:rsidR="009F6E89">
        <w:t>ptable outcomes for all parties through negotiation and/or mediation</w:t>
      </w:r>
    </w:p>
    <w:p w:rsidR="0005585C" w:rsidRDefault="00F20E2A" w:rsidP="0005585C">
      <w:pPr>
        <w:pStyle w:val="ListParagraph"/>
        <w:numPr>
          <w:ilvl w:val="0"/>
          <w:numId w:val="27"/>
        </w:numPr>
      </w:pPr>
      <w:r>
        <w:t>a</w:t>
      </w:r>
      <w:r w:rsidR="00E337BD">
        <w:t xml:space="preserve">ny complaints and appeals will be reviewed in order to improve </w:t>
      </w:r>
      <w:r w:rsidR="00A00B3A">
        <w:t xml:space="preserve">current policies and practices </w:t>
      </w:r>
      <w:r w:rsidR="009F6E89">
        <w:t xml:space="preserve">as well as obtain an insight into levels of student satisfaction </w:t>
      </w:r>
    </w:p>
    <w:p w:rsidR="009F6E89" w:rsidRDefault="00F20E2A" w:rsidP="0005585C">
      <w:pPr>
        <w:pStyle w:val="ListParagraph"/>
        <w:numPr>
          <w:ilvl w:val="0"/>
          <w:numId w:val="27"/>
        </w:numPr>
      </w:pPr>
      <w:r>
        <w:t>a</w:t>
      </w:r>
      <w:r w:rsidR="009F6E89">
        <w:t xml:space="preserve">ny complaints and appeals will be handled in a professional manner and will be respected for privacy and confidentiality where possible </w:t>
      </w:r>
    </w:p>
    <w:p w:rsidR="0005585C" w:rsidRDefault="00F20E2A" w:rsidP="00FE04E1">
      <w:pPr>
        <w:pStyle w:val="ListParagraph"/>
        <w:numPr>
          <w:ilvl w:val="0"/>
          <w:numId w:val="27"/>
        </w:numPr>
      </w:pPr>
      <w:r>
        <w:t>i</w:t>
      </w:r>
      <w:r w:rsidR="009F6E89">
        <w:t xml:space="preserve">nformation to the complainant/appellant is provided in a </w:t>
      </w:r>
      <w:r w:rsidR="008A6D6A">
        <w:t>non-threatening</w:t>
      </w:r>
      <w:r w:rsidR="009F6E89">
        <w:t xml:space="preserve"> way but providing the ‘</w:t>
      </w:r>
      <w:r w:rsidR="00E33E34">
        <w:t xml:space="preserve">record of student </w:t>
      </w:r>
      <w:r w:rsidR="009F6E89">
        <w:t>complaints</w:t>
      </w:r>
      <w:r w:rsidR="00E33E34">
        <w:t xml:space="preserve"> and appeals form’ accessible via the Parker Brent website </w:t>
      </w:r>
    </w:p>
    <w:p w:rsidR="00E33E34" w:rsidRDefault="00F20E2A" w:rsidP="00FE04E1">
      <w:pPr>
        <w:pStyle w:val="ListParagraph"/>
        <w:numPr>
          <w:ilvl w:val="0"/>
          <w:numId w:val="27"/>
        </w:numPr>
      </w:pPr>
      <w:r>
        <w:t>a</w:t>
      </w:r>
      <w:r w:rsidR="00E33E34">
        <w:t>ll students will have a safe and supportive learning and working environment</w:t>
      </w:r>
    </w:p>
    <w:p w:rsidR="00C37E74" w:rsidRDefault="00F20E2A" w:rsidP="00FE04E1">
      <w:pPr>
        <w:pStyle w:val="ListParagraph"/>
        <w:numPr>
          <w:ilvl w:val="0"/>
          <w:numId w:val="27"/>
        </w:numPr>
      </w:pPr>
      <w:r>
        <w:t>a</w:t>
      </w:r>
      <w:r w:rsidR="00C37E74">
        <w:t xml:space="preserve">ll parties will act respectfully and in a courteous manner where the rights and responsibilities of all parties are recognised </w:t>
      </w:r>
    </w:p>
    <w:p w:rsidR="00C37E74" w:rsidRDefault="00F20E2A" w:rsidP="00FE04E1">
      <w:pPr>
        <w:pStyle w:val="ListParagraph"/>
        <w:numPr>
          <w:ilvl w:val="0"/>
          <w:numId w:val="27"/>
        </w:numPr>
      </w:pPr>
      <w:r>
        <w:lastRenderedPageBreak/>
        <w:t>a</w:t>
      </w:r>
      <w:r w:rsidR="00C37E74">
        <w:t xml:space="preserve">ll parties are encouraged to discuss their complaint or appeal with a Parker Brent staff member before undertaking a formal complaints and appeals procedure </w:t>
      </w:r>
    </w:p>
    <w:p w:rsidR="00C37E74" w:rsidRDefault="00F20E2A" w:rsidP="00FE04E1">
      <w:pPr>
        <w:pStyle w:val="ListParagraph"/>
        <w:numPr>
          <w:ilvl w:val="0"/>
          <w:numId w:val="27"/>
        </w:numPr>
      </w:pPr>
      <w:r>
        <w:t>a</w:t>
      </w:r>
      <w:r w:rsidR="00C37E74">
        <w:t xml:space="preserve">ll parties will not be discriminated against regardless of the outcome of the complaint or appeal </w:t>
      </w:r>
    </w:p>
    <w:p w:rsidR="00C37E74" w:rsidRDefault="00F20E2A" w:rsidP="00FE04E1">
      <w:pPr>
        <w:pStyle w:val="ListParagraph"/>
        <w:numPr>
          <w:ilvl w:val="0"/>
          <w:numId w:val="27"/>
        </w:numPr>
      </w:pPr>
      <w:r>
        <w:t>a</w:t>
      </w:r>
      <w:r w:rsidR="00C37E74">
        <w:t>ll students raising a complaint must do so as soon as possible after the issue has occurred and to provide complete and factual information so that the complaint can be dealt with in a</w:t>
      </w:r>
      <w:r w:rsidR="00A603A3">
        <w:t>n appropriate manner</w:t>
      </w:r>
    </w:p>
    <w:p w:rsidR="00A603A3" w:rsidRDefault="00F20E2A" w:rsidP="00FE04E1">
      <w:pPr>
        <w:pStyle w:val="ListParagraph"/>
        <w:numPr>
          <w:ilvl w:val="0"/>
          <w:numId w:val="27"/>
        </w:numPr>
      </w:pPr>
      <w:r>
        <w:t>a</w:t>
      </w:r>
      <w:r w:rsidR="00A603A3">
        <w:t xml:space="preserve">ll staff will address all concerns, complaints and appeals in line with relevant legislation as well as Parker Brent policies and procedures as mentioned below and operate in a fair and unbiased manner to all students </w:t>
      </w:r>
    </w:p>
    <w:p w:rsidR="005F2B30" w:rsidRPr="00044FA6" w:rsidRDefault="00F20E2A" w:rsidP="00A603A3">
      <w:pPr>
        <w:pStyle w:val="ListParagraph"/>
        <w:numPr>
          <w:ilvl w:val="0"/>
          <w:numId w:val="27"/>
        </w:numPr>
      </w:pPr>
      <w:r>
        <w:t>a</w:t>
      </w:r>
      <w:r w:rsidR="00A603A3">
        <w:t xml:space="preserve">ll staff will maintain confidentiality in regards to all complaints raised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
        <w:gridCol w:w="2860"/>
        <w:gridCol w:w="1969"/>
        <w:gridCol w:w="1950"/>
        <w:gridCol w:w="6842"/>
      </w:tblGrid>
      <w:tr w:rsidR="00607155" w:rsidRPr="00044FA6" w:rsidTr="009E600F">
        <w:tc>
          <w:tcPr>
            <w:tcW w:w="0" w:type="auto"/>
            <w:shd w:val="clear" w:color="auto" w:fill="D9D9D9" w:themeFill="background1" w:themeFillShade="D9"/>
          </w:tcPr>
          <w:p w:rsidR="006451B1" w:rsidRPr="00044FA6" w:rsidRDefault="006451B1" w:rsidP="009E600F"/>
        </w:tc>
        <w:tc>
          <w:tcPr>
            <w:tcW w:w="2900" w:type="dxa"/>
            <w:shd w:val="clear" w:color="auto" w:fill="D9D9D9" w:themeFill="background1" w:themeFillShade="D9"/>
          </w:tcPr>
          <w:p w:rsidR="006451B1" w:rsidRPr="00044FA6" w:rsidRDefault="006451B1" w:rsidP="009E600F">
            <w:r w:rsidRPr="00044FA6">
              <w:t>Action</w:t>
            </w:r>
          </w:p>
        </w:tc>
        <w:tc>
          <w:tcPr>
            <w:tcW w:w="1983" w:type="dxa"/>
            <w:shd w:val="clear" w:color="auto" w:fill="D9D9D9" w:themeFill="background1" w:themeFillShade="D9"/>
          </w:tcPr>
          <w:p w:rsidR="006451B1" w:rsidRPr="00044FA6" w:rsidRDefault="006451B1" w:rsidP="009E600F">
            <w:r w:rsidRPr="00044FA6">
              <w:t>Action by</w:t>
            </w:r>
          </w:p>
        </w:tc>
        <w:tc>
          <w:tcPr>
            <w:tcW w:w="1985" w:type="dxa"/>
            <w:shd w:val="clear" w:color="auto" w:fill="D9D9D9" w:themeFill="background1" w:themeFillShade="D9"/>
          </w:tcPr>
          <w:p w:rsidR="006451B1" w:rsidRPr="00044FA6" w:rsidRDefault="006451B1" w:rsidP="009E600F">
            <w:r w:rsidRPr="00044FA6">
              <w:t>By when</w:t>
            </w:r>
          </w:p>
        </w:tc>
        <w:tc>
          <w:tcPr>
            <w:tcW w:w="6980" w:type="dxa"/>
            <w:shd w:val="clear" w:color="auto" w:fill="D9D9D9" w:themeFill="background1" w:themeFillShade="D9"/>
          </w:tcPr>
          <w:p w:rsidR="006451B1" w:rsidRPr="00044FA6" w:rsidRDefault="006451B1" w:rsidP="009E600F">
            <w:r w:rsidRPr="00044FA6">
              <w:t>Notes</w:t>
            </w:r>
          </w:p>
        </w:tc>
      </w:tr>
      <w:tr w:rsidR="00607155" w:rsidRPr="00044FA6" w:rsidTr="009E600F">
        <w:trPr>
          <w:trHeight w:val="730"/>
        </w:trPr>
        <w:tc>
          <w:tcPr>
            <w:tcW w:w="0" w:type="auto"/>
            <w:shd w:val="clear" w:color="auto" w:fill="D9D9D9" w:themeFill="background1" w:themeFillShade="D9"/>
          </w:tcPr>
          <w:p w:rsidR="00066199" w:rsidRPr="00044FA6" w:rsidRDefault="00066199" w:rsidP="009E600F">
            <w:r w:rsidRPr="00044FA6">
              <w:t>1</w:t>
            </w:r>
          </w:p>
        </w:tc>
        <w:tc>
          <w:tcPr>
            <w:tcW w:w="2900" w:type="dxa"/>
          </w:tcPr>
          <w:p w:rsidR="00066199" w:rsidRPr="00044FA6" w:rsidRDefault="00E170A2" w:rsidP="00197B43">
            <w:pPr>
              <w:spacing w:before="0" w:after="0"/>
            </w:pPr>
            <w:r w:rsidRPr="00724DC5">
              <w:t xml:space="preserve">In the event of a student wishing to lodge an appeal or complaint, an approach, either formal or informal, will initially need to be made by the student (or a nominated representative chosen by the student) to their trainer/assessor, or other </w:t>
            </w:r>
            <w:r w:rsidR="00C72684">
              <w:t>Parker Brent</w:t>
            </w:r>
            <w:r>
              <w:t xml:space="preserve"> </w:t>
            </w:r>
            <w:r w:rsidRPr="00724DC5">
              <w:t>staff member</w:t>
            </w:r>
          </w:p>
        </w:tc>
        <w:tc>
          <w:tcPr>
            <w:tcW w:w="1983" w:type="dxa"/>
          </w:tcPr>
          <w:p w:rsidR="00066199" w:rsidRPr="00044FA6" w:rsidRDefault="00E170A2" w:rsidP="00762DD0">
            <w:pPr>
              <w:spacing w:before="0"/>
            </w:pPr>
            <w:r>
              <w:t>Student</w:t>
            </w:r>
          </w:p>
        </w:tc>
        <w:tc>
          <w:tcPr>
            <w:tcW w:w="1985" w:type="dxa"/>
          </w:tcPr>
          <w:p w:rsidR="00066199" w:rsidRPr="00044FA6" w:rsidRDefault="00C73382" w:rsidP="00762DD0">
            <w:pPr>
              <w:spacing w:before="0"/>
            </w:pPr>
            <w:r>
              <w:t xml:space="preserve">24 hours </w:t>
            </w:r>
          </w:p>
        </w:tc>
        <w:tc>
          <w:tcPr>
            <w:tcW w:w="6980" w:type="dxa"/>
          </w:tcPr>
          <w:p w:rsidR="009C7846" w:rsidRDefault="00A603A3" w:rsidP="00197B43">
            <w:pPr>
              <w:spacing w:before="0" w:after="60"/>
            </w:pPr>
            <w:r>
              <w:t xml:space="preserve">Parker Brent will always attempt to resolve any issues, complaints and/or appeals </w:t>
            </w:r>
            <w:r w:rsidR="004C4CC9">
              <w:t xml:space="preserve">via discussion and negotiation with a Parker Brent Trainer/Assessor (Skills First Teacher) or with a Parker Brent staff member.  </w:t>
            </w:r>
          </w:p>
          <w:p w:rsidR="009C7846" w:rsidRDefault="009C7846" w:rsidP="00197B43">
            <w:pPr>
              <w:spacing w:before="0" w:after="60"/>
            </w:pPr>
            <w:r>
              <w:t>Parker Brent aims to ensure that leaners and stakeholders complaints are dealt with efficientl</w:t>
            </w:r>
            <w:r w:rsidR="00E07ABB">
              <w:t xml:space="preserve">y, effectively, transparently </w:t>
            </w:r>
            <w:r>
              <w:t xml:space="preserve">and fairly. </w:t>
            </w:r>
            <w:r w:rsidR="00E07ABB">
              <w:t xml:space="preserve">All students are made aware of the Complaints and Appeals procedure on the Parker Brent website. </w:t>
            </w:r>
          </w:p>
          <w:p w:rsidR="00E07ABB" w:rsidRDefault="00E07ABB" w:rsidP="00197B43">
            <w:pPr>
              <w:spacing w:before="0" w:after="60"/>
            </w:pPr>
            <w:r>
              <w:t xml:space="preserve">Parker Brent will endeavour to resolve any concerns, complaints or appeals through an informal process of discussion and negotiation.  This is between either the student, client, staff, third party or external party and the relevant staff member of Parker Brent.  Where an informal process fails to achieve a resolution, the procedure for submitting a formal complaint or appeal is outlined below. </w:t>
            </w:r>
          </w:p>
          <w:p w:rsidR="00E170A2" w:rsidRDefault="00E170A2" w:rsidP="00197B43">
            <w:pPr>
              <w:spacing w:before="0" w:after="60"/>
            </w:pPr>
            <w:r w:rsidRPr="00724DC5">
              <w:t xml:space="preserve">Any formal complaint should be forwarded in writing to </w:t>
            </w:r>
            <w:r w:rsidR="004C4CC9">
              <w:t xml:space="preserve">the CEO of </w:t>
            </w:r>
            <w:r w:rsidR="00C72684">
              <w:t>Parker Brent</w:t>
            </w:r>
            <w:r>
              <w:t xml:space="preserve"> </w:t>
            </w:r>
            <w:r w:rsidRPr="00724DC5">
              <w:t>using the ‘</w:t>
            </w:r>
            <w:r>
              <w:t xml:space="preserve">Record of </w:t>
            </w:r>
            <w:r w:rsidR="006C4F94">
              <w:t xml:space="preserve">Student </w:t>
            </w:r>
            <w:r>
              <w:t>Complaint</w:t>
            </w:r>
            <w:r w:rsidR="006C4F94">
              <w:t xml:space="preserve">s and </w:t>
            </w:r>
            <w:r>
              <w:t>Appeal</w:t>
            </w:r>
            <w:r w:rsidR="006C4F94">
              <w:t>s’ form</w:t>
            </w:r>
            <w:r w:rsidR="004C4CC9">
              <w:t xml:space="preserve"> available on the Parker Brent website. The Complaints and Appeals form along with any supporting evidence should also be submitted to </w:t>
            </w:r>
            <w:hyperlink r:id="rId10" w:history="1">
              <w:r w:rsidR="004C4CC9" w:rsidRPr="007C5F44">
                <w:rPr>
                  <w:rStyle w:val="Hyperlink"/>
                </w:rPr>
                <w:t>student@parkerbrent.com.au</w:t>
              </w:r>
            </w:hyperlink>
            <w:r w:rsidR="004C4CC9">
              <w:t xml:space="preserve"> </w:t>
            </w:r>
          </w:p>
          <w:p w:rsidR="00E07ABB" w:rsidRDefault="004C4CC9" w:rsidP="00197B43">
            <w:pPr>
              <w:spacing w:before="0" w:after="60"/>
            </w:pPr>
            <w:r>
              <w:t xml:space="preserve">The Training Manager will acknowledge the complaint in writing within 2 business days to confirm receipt of the ‘record of student complaints and appeals’ form as well as any supporting evidence provided. </w:t>
            </w:r>
          </w:p>
          <w:p w:rsidR="004C4CC9" w:rsidRDefault="004C4CC9" w:rsidP="00197B43">
            <w:pPr>
              <w:spacing w:before="0" w:after="60"/>
            </w:pPr>
            <w:r>
              <w:lastRenderedPageBreak/>
              <w:t xml:space="preserve">The Training Manager will forward to the CEO if required. </w:t>
            </w:r>
            <w:r w:rsidR="00790E48">
              <w:t xml:space="preserve"> The complaint will be recorded in the complaints and appeals folder stored in the Parker Brent office </w:t>
            </w:r>
            <w:r w:rsidR="00773738">
              <w:t xml:space="preserve">as well as in the ‘Register of Complaints and Appeals’ which is kept electronically by the Training Manager. This register will be used to keep track of responses and correspondence between the student and Parker Brent staff. The Training Administration Assistant will ensure that student complaints are also stored in the respective student files. </w:t>
            </w:r>
          </w:p>
          <w:p w:rsidR="00122C61" w:rsidRDefault="00122C61" w:rsidP="00197B43">
            <w:pPr>
              <w:spacing w:before="0" w:after="60"/>
            </w:pPr>
            <w:r>
              <w:t xml:space="preserve">The parties involved in the allegations of a complaint or appeal will be advised (where appropriate).  The relevant staff member will investigate the complaint or appeal within 20 working days of the date being submitted by the complainant/appellant </w:t>
            </w:r>
            <w:r w:rsidR="008A6D6A">
              <w:t xml:space="preserve">and request any further clarification and documentation from all relevant parties to resolve the matter. This may involve face to face meetings or interviews or any other action that is deemed suitable by Parker Brent as required. </w:t>
            </w:r>
          </w:p>
          <w:p w:rsidR="00066199" w:rsidRPr="00044FA6" w:rsidRDefault="006A679B" w:rsidP="00E07ABB">
            <w:pPr>
              <w:spacing w:before="0" w:after="60"/>
            </w:pPr>
            <w:r>
              <w:t>At the time of the meeting, e</w:t>
            </w:r>
            <w:r w:rsidR="001C5538">
              <w:t xml:space="preserve">ither party </w:t>
            </w:r>
            <w:r>
              <w:t xml:space="preserve">is able to have a third party support such as a family member, friend, or other professional support person </w:t>
            </w:r>
            <w:r w:rsidR="008646EE">
              <w:t>that can be present</w:t>
            </w:r>
            <w:r w:rsidR="001E07FB">
              <w:t xml:space="preserve"> however, this is at the cost of the party engaging the third party support. </w:t>
            </w:r>
            <w:r w:rsidR="00006672">
              <w:t>All discussions and meetings with all parties are documented appropriately. After a complaint or appeal has been investigated, the relevant staff member and manager may decide to dismiss the complaint or appeal or take further action. If further action is required</w:t>
            </w:r>
            <w:r w:rsidR="00C7723F">
              <w:t xml:space="preserve"> or if the complaint or appe</w:t>
            </w:r>
            <w:r w:rsidR="00B0221A">
              <w:t xml:space="preserve">al is </w:t>
            </w:r>
            <w:r w:rsidR="00E72275">
              <w:t>resolved,</w:t>
            </w:r>
            <w:r w:rsidR="00006672">
              <w:t xml:space="preserve"> Parker Brent will notify the complainant within 14 working days outlining the rea</w:t>
            </w:r>
            <w:r w:rsidR="00C7723F">
              <w:t xml:space="preserve">sons for the decision and an appropriate action. </w:t>
            </w:r>
          </w:p>
        </w:tc>
      </w:tr>
      <w:tr w:rsidR="00607155" w:rsidRPr="00044FA6" w:rsidTr="009E600F">
        <w:trPr>
          <w:trHeight w:val="463"/>
        </w:trPr>
        <w:tc>
          <w:tcPr>
            <w:tcW w:w="0" w:type="auto"/>
            <w:shd w:val="clear" w:color="auto" w:fill="D9D9D9" w:themeFill="background1" w:themeFillShade="D9"/>
          </w:tcPr>
          <w:p w:rsidR="00066199" w:rsidRPr="00044FA6" w:rsidRDefault="00066199" w:rsidP="009E600F">
            <w:r w:rsidRPr="00044FA6">
              <w:lastRenderedPageBreak/>
              <w:t>2</w:t>
            </w:r>
          </w:p>
        </w:tc>
        <w:tc>
          <w:tcPr>
            <w:tcW w:w="2900" w:type="dxa"/>
          </w:tcPr>
          <w:p w:rsidR="00066199" w:rsidRPr="00044FA6" w:rsidRDefault="00E170A2" w:rsidP="00197B43">
            <w:pPr>
              <w:spacing w:before="0" w:after="0"/>
            </w:pPr>
            <w:r w:rsidRPr="00724DC5">
              <w:t xml:space="preserve">All attempts will be made by </w:t>
            </w:r>
            <w:r w:rsidR="00C72684">
              <w:t>Parker Brent</w:t>
            </w:r>
            <w:r>
              <w:t xml:space="preserve"> </w:t>
            </w:r>
            <w:r w:rsidRPr="00724DC5">
              <w:t>to resolve the complaint internally with all parties involved</w:t>
            </w:r>
          </w:p>
        </w:tc>
        <w:tc>
          <w:tcPr>
            <w:tcW w:w="1983" w:type="dxa"/>
          </w:tcPr>
          <w:p w:rsidR="00066199" w:rsidRPr="00044FA6" w:rsidRDefault="00C72684" w:rsidP="00197B43">
            <w:pPr>
              <w:spacing w:before="0" w:after="0"/>
            </w:pPr>
            <w:r>
              <w:t>Parker Brent</w:t>
            </w:r>
            <w:r w:rsidR="00607155">
              <w:t xml:space="preserve"> </w:t>
            </w:r>
            <w:r w:rsidR="00E170A2">
              <w:t>Representative</w:t>
            </w:r>
          </w:p>
        </w:tc>
        <w:tc>
          <w:tcPr>
            <w:tcW w:w="1985" w:type="dxa"/>
          </w:tcPr>
          <w:p w:rsidR="00066199" w:rsidRPr="00044FA6" w:rsidRDefault="00E170A2" w:rsidP="00197B43">
            <w:pPr>
              <w:spacing w:before="0" w:after="0"/>
            </w:pPr>
            <w:r>
              <w:t>Within 48 hours</w:t>
            </w:r>
          </w:p>
        </w:tc>
        <w:tc>
          <w:tcPr>
            <w:tcW w:w="6980" w:type="dxa"/>
          </w:tcPr>
          <w:p w:rsidR="00066199" w:rsidRDefault="00E170A2" w:rsidP="00197B43">
            <w:pPr>
              <w:spacing w:before="0" w:after="0"/>
              <w:rPr>
                <w:lang w:bidi="en-US"/>
              </w:rPr>
            </w:pPr>
            <w:r>
              <w:rPr>
                <w:lang w:bidi="en-US"/>
              </w:rPr>
              <w:t>The complaint is reviewed and possible outcomes discussed with the student.</w:t>
            </w:r>
          </w:p>
          <w:p w:rsidR="00EA0AE4" w:rsidRDefault="00E170A2" w:rsidP="00E07ABB">
            <w:pPr>
              <w:spacing w:before="60" w:after="0"/>
              <w:rPr>
                <w:lang w:bidi="en-US"/>
              </w:rPr>
            </w:pPr>
            <w:r>
              <w:rPr>
                <w:lang w:bidi="en-US"/>
              </w:rPr>
              <w:t xml:space="preserve">Where an agreed outcome is reached, this is documented on the </w:t>
            </w:r>
            <w:r w:rsidR="00E07ABB">
              <w:rPr>
                <w:lang w:bidi="en-US"/>
              </w:rPr>
              <w:t>‘</w:t>
            </w:r>
            <w:r>
              <w:rPr>
                <w:lang w:bidi="en-US"/>
              </w:rPr>
              <w:t xml:space="preserve">Record of </w:t>
            </w:r>
            <w:r w:rsidR="006C4F94">
              <w:rPr>
                <w:lang w:bidi="en-US"/>
              </w:rPr>
              <w:t xml:space="preserve">Student </w:t>
            </w:r>
            <w:r>
              <w:rPr>
                <w:lang w:bidi="en-US"/>
              </w:rPr>
              <w:t>Complaint</w:t>
            </w:r>
            <w:r w:rsidR="006C4F94">
              <w:rPr>
                <w:lang w:bidi="en-US"/>
              </w:rPr>
              <w:t xml:space="preserve">s and </w:t>
            </w:r>
            <w:r>
              <w:rPr>
                <w:lang w:bidi="en-US"/>
              </w:rPr>
              <w:t>Appea</w:t>
            </w:r>
            <w:r w:rsidR="00C73382">
              <w:rPr>
                <w:lang w:bidi="en-US"/>
              </w:rPr>
              <w:t>l</w:t>
            </w:r>
            <w:r w:rsidR="006C4F94">
              <w:rPr>
                <w:lang w:bidi="en-US"/>
              </w:rPr>
              <w:t>s</w:t>
            </w:r>
            <w:r w:rsidR="00E07ABB">
              <w:rPr>
                <w:lang w:bidi="en-US"/>
              </w:rPr>
              <w:t>’</w:t>
            </w:r>
            <w:r w:rsidR="00C73382">
              <w:rPr>
                <w:lang w:bidi="en-US"/>
              </w:rPr>
              <w:t xml:space="preserve"> </w:t>
            </w:r>
            <w:r w:rsidR="006C4F94">
              <w:rPr>
                <w:lang w:bidi="en-US"/>
              </w:rPr>
              <w:t xml:space="preserve">form </w:t>
            </w:r>
            <w:r w:rsidR="00C73382">
              <w:rPr>
                <w:lang w:bidi="en-US"/>
              </w:rPr>
              <w:t>and signed</w:t>
            </w:r>
            <w:r w:rsidR="000512CD">
              <w:rPr>
                <w:lang w:bidi="en-US"/>
              </w:rPr>
              <w:t xml:space="preserve"> off by both the CEO</w:t>
            </w:r>
            <w:r>
              <w:rPr>
                <w:lang w:bidi="en-US"/>
              </w:rPr>
              <w:t xml:space="preserve"> and Student and a copy </w:t>
            </w:r>
            <w:r w:rsidR="00D86279">
              <w:rPr>
                <w:lang w:bidi="en-US"/>
              </w:rPr>
              <w:t xml:space="preserve">will be </w:t>
            </w:r>
            <w:r>
              <w:rPr>
                <w:lang w:bidi="en-US"/>
              </w:rPr>
              <w:t xml:space="preserve">given to the student, a copy placed on the student’s file and the original </w:t>
            </w:r>
            <w:r w:rsidR="00D86279">
              <w:rPr>
                <w:lang w:bidi="en-US"/>
              </w:rPr>
              <w:t xml:space="preserve">will be </w:t>
            </w:r>
            <w:r>
              <w:rPr>
                <w:lang w:bidi="en-US"/>
              </w:rPr>
              <w:t>kept in the complaints and appeals folder</w:t>
            </w:r>
            <w:r w:rsidR="006C4F94">
              <w:rPr>
                <w:lang w:bidi="en-US"/>
              </w:rPr>
              <w:t>.</w:t>
            </w:r>
          </w:p>
          <w:p w:rsidR="00E07ABB" w:rsidRPr="00044FA6" w:rsidRDefault="00E07ABB" w:rsidP="00E07ABB">
            <w:pPr>
              <w:spacing w:before="60" w:after="0"/>
              <w:rPr>
                <w:lang w:bidi="en-US"/>
              </w:rPr>
            </w:pPr>
          </w:p>
        </w:tc>
      </w:tr>
      <w:tr w:rsidR="00607155" w:rsidRPr="00044FA6" w:rsidTr="009E600F">
        <w:trPr>
          <w:trHeight w:val="463"/>
        </w:trPr>
        <w:tc>
          <w:tcPr>
            <w:tcW w:w="0" w:type="auto"/>
            <w:shd w:val="clear" w:color="auto" w:fill="D9D9D9" w:themeFill="background1" w:themeFillShade="D9"/>
          </w:tcPr>
          <w:p w:rsidR="00066199" w:rsidRPr="00044FA6" w:rsidRDefault="00066199" w:rsidP="009E600F">
            <w:r>
              <w:lastRenderedPageBreak/>
              <w:t>3</w:t>
            </w:r>
          </w:p>
        </w:tc>
        <w:tc>
          <w:tcPr>
            <w:tcW w:w="2900" w:type="dxa"/>
          </w:tcPr>
          <w:p w:rsidR="00E170A2" w:rsidRPr="00724DC5" w:rsidRDefault="00E170A2" w:rsidP="00197B43">
            <w:pPr>
              <w:spacing w:before="0" w:after="0"/>
            </w:pPr>
            <w:r w:rsidRPr="00724DC5">
              <w:t>If, however, the complaint cannot be resolved internally, the matter will be referred to</w:t>
            </w:r>
            <w:r>
              <w:t xml:space="preserve"> an independent third party</w:t>
            </w:r>
          </w:p>
          <w:p w:rsidR="00066199" w:rsidRPr="00044FA6" w:rsidRDefault="00066199" w:rsidP="00E170A2"/>
        </w:tc>
        <w:tc>
          <w:tcPr>
            <w:tcW w:w="1983" w:type="dxa"/>
          </w:tcPr>
          <w:p w:rsidR="00066199" w:rsidRPr="00044FA6" w:rsidRDefault="000512CD" w:rsidP="00197B43">
            <w:pPr>
              <w:spacing w:before="0" w:after="0"/>
            </w:pPr>
            <w:r>
              <w:t>CEO</w:t>
            </w:r>
          </w:p>
        </w:tc>
        <w:tc>
          <w:tcPr>
            <w:tcW w:w="1985" w:type="dxa"/>
          </w:tcPr>
          <w:p w:rsidR="00066199" w:rsidRPr="00044FA6" w:rsidRDefault="00E170A2" w:rsidP="00197B43">
            <w:pPr>
              <w:spacing w:before="0" w:after="0"/>
            </w:pPr>
            <w:r>
              <w:t>Within 14 days</w:t>
            </w:r>
          </w:p>
        </w:tc>
        <w:tc>
          <w:tcPr>
            <w:tcW w:w="6980" w:type="dxa"/>
          </w:tcPr>
          <w:p w:rsidR="00DD63F9" w:rsidRDefault="00DD63F9" w:rsidP="00DD63F9">
            <w:pPr>
              <w:spacing w:before="0" w:after="60"/>
            </w:pPr>
            <w:r>
              <w:t>Where a decision ca</w:t>
            </w:r>
            <w:r w:rsidR="00E07ABB">
              <w:t xml:space="preserve">nnot be made within 60 days the </w:t>
            </w:r>
            <w:r>
              <w:t xml:space="preserve">complainant/appellant will be informed in writing of the reason why and will receive a written update on the matter when a resolution is reached by the relevant staff member.  Each team at Parker Brent is required to report </w:t>
            </w:r>
            <w:r w:rsidR="00F25FCC">
              <w:t xml:space="preserve">complaints and appeals to the Training Manager and/or CEO. </w:t>
            </w:r>
          </w:p>
          <w:p w:rsidR="00DD63F9" w:rsidRDefault="00DD63F9" w:rsidP="00DD63F9">
            <w:pPr>
              <w:spacing w:before="0" w:after="60"/>
            </w:pPr>
          </w:p>
          <w:p w:rsidR="00DD63F9" w:rsidRDefault="00DD63F9" w:rsidP="00DD63F9">
            <w:pPr>
              <w:spacing w:before="0" w:after="60"/>
            </w:pPr>
            <w:r>
              <w:t>If the complainant/appellant is still not satisfied with the resolution or outcome, they have a right to appeal to an external agency and Parker Brent will make arrangements accordingly. The matter will be referred to:</w:t>
            </w:r>
          </w:p>
          <w:p w:rsidR="009F7592" w:rsidRDefault="00E170A2" w:rsidP="00197B43">
            <w:pPr>
              <w:spacing w:before="60" w:after="0"/>
            </w:pPr>
            <w:r w:rsidRPr="00724DC5">
              <w:rPr>
                <w:bCs/>
              </w:rPr>
              <w:t xml:space="preserve">Dispute Settlement Centre </w:t>
            </w:r>
            <w:r w:rsidR="005D5DF1">
              <w:rPr>
                <w:bCs/>
              </w:rPr>
              <w:t xml:space="preserve">of </w:t>
            </w:r>
            <w:r w:rsidRPr="00724DC5">
              <w:rPr>
                <w:bCs/>
              </w:rPr>
              <w:t>Victoria</w:t>
            </w:r>
            <w:r w:rsidRPr="00724DC5">
              <w:br/>
              <w:t>4/456 Lonsdale St</w:t>
            </w:r>
            <w:r w:rsidRPr="00724DC5">
              <w:br/>
              <w:t>Melb</w:t>
            </w:r>
            <w:r w:rsidR="006F3838">
              <w:t>ourne VIC 3000</w:t>
            </w:r>
            <w:r w:rsidR="006F3838">
              <w:br/>
              <w:t>Tel: 1300 372 88</w:t>
            </w:r>
            <w:r w:rsidRPr="00724DC5">
              <w:t>8</w:t>
            </w:r>
            <w:r w:rsidR="00F22757">
              <w:t xml:space="preserve"> </w:t>
            </w:r>
          </w:p>
          <w:p w:rsidR="00DD63F9" w:rsidRDefault="00DD63F9" w:rsidP="00DD63F9">
            <w:pPr>
              <w:spacing w:before="60" w:after="0"/>
            </w:pPr>
            <w:r>
              <w:t xml:space="preserve">Parker Brent </w:t>
            </w:r>
            <w:r w:rsidRPr="00724DC5">
              <w:t>will allow the client to be represented by a third party in any subsequent discussion</w:t>
            </w:r>
            <w:r>
              <w:t>.</w:t>
            </w:r>
            <w:r w:rsidR="007B6AB0">
              <w:t xml:space="preserve"> This is at the cost of the party who engages the additional assistance.  There are no fees for the review of a decision. </w:t>
            </w:r>
          </w:p>
          <w:p w:rsidR="00DD63F9" w:rsidRDefault="00DD63F9" w:rsidP="00DD63F9">
            <w:pPr>
              <w:pStyle w:val="ListParagraph"/>
              <w:numPr>
                <w:ilvl w:val="0"/>
                <w:numId w:val="26"/>
              </w:numPr>
              <w:spacing w:before="60" w:after="0"/>
            </w:pPr>
            <w:r>
              <w:t xml:space="preserve">From January 2015, students are able make a complaint via the National Training Complaints Hotline 133 873 or </w:t>
            </w:r>
          </w:p>
          <w:p w:rsidR="00DD63F9" w:rsidRDefault="00DD63F9" w:rsidP="00DD63F9">
            <w:pPr>
              <w:pStyle w:val="ListParagraph"/>
              <w:numPr>
                <w:ilvl w:val="0"/>
                <w:numId w:val="26"/>
              </w:numPr>
              <w:spacing w:before="60" w:after="0"/>
            </w:pPr>
            <w:r>
              <w:t>Make a complaint to the VRQA by completing online complaints forms, completing the printable complaint form and post/fax to the VRQA or writing a letter and post/fax to the VRQA</w:t>
            </w:r>
          </w:p>
          <w:p w:rsidR="00DD63F9" w:rsidRDefault="00DD63F9" w:rsidP="00DD63F9">
            <w:pPr>
              <w:pStyle w:val="ListParagraph"/>
              <w:numPr>
                <w:ilvl w:val="0"/>
                <w:numId w:val="26"/>
              </w:numPr>
              <w:spacing w:before="60" w:after="0"/>
            </w:pPr>
            <w:r>
              <w:t>Complaints to the VRQA must be made in writing. If, for reason of disability you cannot make a complaint in writing, you can make a complaint by phone or in person.</w:t>
            </w:r>
          </w:p>
          <w:p w:rsidR="000E05E9" w:rsidRDefault="000E05E9" w:rsidP="000E05E9">
            <w:pPr>
              <w:spacing w:before="60" w:after="0"/>
            </w:pPr>
            <w:r>
              <w:t xml:space="preserve">The external agency will be requested by Parker Brent to provide written notice of their decision and reason as to how the decision was formed. The written notice will be presented to the complainant/appellant and Parker Brent.  Where a decision cannot be made within 60 days, the complainant/appellant will be informed in </w:t>
            </w:r>
            <w:r w:rsidR="0020242B">
              <w:t xml:space="preserve">writing of the reason.  </w:t>
            </w:r>
          </w:p>
          <w:p w:rsidR="0020242B" w:rsidRDefault="0020242B" w:rsidP="000E05E9">
            <w:pPr>
              <w:spacing w:before="60" w:after="0"/>
            </w:pPr>
          </w:p>
          <w:p w:rsidR="00262BD4" w:rsidRPr="0020242B" w:rsidRDefault="0020242B" w:rsidP="0020242B">
            <w:pPr>
              <w:spacing w:before="60" w:after="0"/>
            </w:pPr>
            <w:r>
              <w:lastRenderedPageBreak/>
              <w:t xml:space="preserve">Parker Brent will cooperate with the external agencies resolution and as part of its continuous improvement, will implement recommendations arising from any external review. </w:t>
            </w:r>
          </w:p>
        </w:tc>
      </w:tr>
      <w:tr w:rsidR="00607155" w:rsidRPr="00044FA6" w:rsidTr="009E600F">
        <w:trPr>
          <w:trHeight w:val="463"/>
        </w:trPr>
        <w:tc>
          <w:tcPr>
            <w:tcW w:w="0" w:type="auto"/>
            <w:shd w:val="clear" w:color="auto" w:fill="D9D9D9" w:themeFill="background1" w:themeFillShade="D9"/>
          </w:tcPr>
          <w:p w:rsidR="00E170A2" w:rsidRDefault="00E170A2" w:rsidP="009E600F">
            <w:r>
              <w:lastRenderedPageBreak/>
              <w:t>4</w:t>
            </w:r>
          </w:p>
        </w:tc>
        <w:tc>
          <w:tcPr>
            <w:tcW w:w="2900" w:type="dxa"/>
          </w:tcPr>
          <w:p w:rsidR="00E170A2" w:rsidRPr="00724DC5" w:rsidRDefault="00E170A2" w:rsidP="00197B43">
            <w:pPr>
              <w:spacing w:before="0" w:after="0"/>
            </w:pPr>
            <w:r>
              <w:t>The outcome is agreed, recorded and acted upon</w:t>
            </w:r>
          </w:p>
        </w:tc>
        <w:tc>
          <w:tcPr>
            <w:tcW w:w="1983" w:type="dxa"/>
          </w:tcPr>
          <w:p w:rsidR="00E170A2" w:rsidRDefault="000512CD" w:rsidP="00197B43">
            <w:pPr>
              <w:spacing w:before="0" w:after="0"/>
            </w:pPr>
            <w:r>
              <w:t>CEO</w:t>
            </w:r>
          </w:p>
        </w:tc>
        <w:tc>
          <w:tcPr>
            <w:tcW w:w="1985" w:type="dxa"/>
          </w:tcPr>
          <w:p w:rsidR="00E170A2" w:rsidRPr="00044FA6" w:rsidRDefault="00E170A2" w:rsidP="00197B43">
            <w:pPr>
              <w:spacing w:before="0" w:after="0"/>
            </w:pPr>
            <w:r>
              <w:t>Upon a decision being agreed</w:t>
            </w:r>
            <w:bookmarkStart w:id="0" w:name="_GoBack"/>
            <w:bookmarkEnd w:id="0"/>
          </w:p>
        </w:tc>
        <w:tc>
          <w:tcPr>
            <w:tcW w:w="6980" w:type="dxa"/>
          </w:tcPr>
          <w:p w:rsidR="005F2B30" w:rsidRDefault="00E170A2" w:rsidP="00D86279">
            <w:pPr>
              <w:spacing w:before="0" w:after="0"/>
            </w:pPr>
            <w:r>
              <w:rPr>
                <w:lang w:bidi="en-US"/>
              </w:rPr>
              <w:t xml:space="preserve">The agreed outcome is documented on the </w:t>
            </w:r>
            <w:r w:rsidR="00E07ABB">
              <w:rPr>
                <w:lang w:bidi="en-US"/>
              </w:rPr>
              <w:t>‘</w:t>
            </w:r>
            <w:r>
              <w:rPr>
                <w:lang w:bidi="en-US"/>
              </w:rPr>
              <w:t xml:space="preserve">Record of </w:t>
            </w:r>
            <w:r w:rsidR="006C4F94">
              <w:rPr>
                <w:lang w:bidi="en-US"/>
              </w:rPr>
              <w:t xml:space="preserve">Student </w:t>
            </w:r>
            <w:r>
              <w:rPr>
                <w:lang w:bidi="en-US"/>
              </w:rPr>
              <w:t>Complaint</w:t>
            </w:r>
            <w:r w:rsidR="006C4F94">
              <w:rPr>
                <w:lang w:bidi="en-US"/>
              </w:rPr>
              <w:t xml:space="preserve">s and </w:t>
            </w:r>
            <w:r>
              <w:rPr>
                <w:lang w:bidi="en-US"/>
              </w:rPr>
              <w:t>Appea</w:t>
            </w:r>
            <w:r w:rsidR="006C4F94">
              <w:rPr>
                <w:lang w:bidi="en-US"/>
              </w:rPr>
              <w:t>ls</w:t>
            </w:r>
            <w:r w:rsidR="00E07ABB">
              <w:rPr>
                <w:lang w:bidi="en-US"/>
              </w:rPr>
              <w:t>’</w:t>
            </w:r>
            <w:r w:rsidR="006C4F94">
              <w:rPr>
                <w:lang w:bidi="en-US"/>
              </w:rPr>
              <w:t xml:space="preserve"> form </w:t>
            </w:r>
            <w:r w:rsidR="006F3838">
              <w:rPr>
                <w:lang w:bidi="en-US"/>
              </w:rPr>
              <w:t>and signed</w:t>
            </w:r>
            <w:r w:rsidR="000512CD">
              <w:rPr>
                <w:lang w:bidi="en-US"/>
              </w:rPr>
              <w:t xml:space="preserve"> off by both the CEO</w:t>
            </w:r>
            <w:r w:rsidR="00D86279">
              <w:rPr>
                <w:lang w:bidi="en-US"/>
              </w:rPr>
              <w:t xml:space="preserve"> and Student. A</w:t>
            </w:r>
            <w:r>
              <w:rPr>
                <w:lang w:bidi="en-US"/>
              </w:rPr>
              <w:t xml:space="preserve"> copy </w:t>
            </w:r>
            <w:r w:rsidR="007911A2">
              <w:rPr>
                <w:lang w:bidi="en-US"/>
              </w:rPr>
              <w:t>is to</w:t>
            </w:r>
            <w:r w:rsidR="00D86279">
              <w:rPr>
                <w:lang w:bidi="en-US"/>
              </w:rPr>
              <w:t xml:space="preserve"> be </w:t>
            </w:r>
            <w:r>
              <w:rPr>
                <w:lang w:bidi="en-US"/>
              </w:rPr>
              <w:t>given to the student, a copy placed on the student’s file and the original kept in the complaints and appeals folder</w:t>
            </w:r>
            <w:r w:rsidR="00E07ABB">
              <w:rPr>
                <w:lang w:bidi="en-US"/>
              </w:rPr>
              <w:t xml:space="preserve"> as well as in the ‘</w:t>
            </w:r>
            <w:r w:rsidR="00E07ABB">
              <w:t xml:space="preserve">Register of Complaints and Appeals’ which is kept electronically by the Training Manager. </w:t>
            </w:r>
          </w:p>
          <w:p w:rsidR="00E07ABB" w:rsidRDefault="00E07ABB" w:rsidP="00D86279">
            <w:pPr>
              <w:spacing w:before="0" w:after="0"/>
              <w:rPr>
                <w:lang w:bidi="en-US"/>
              </w:rPr>
            </w:pPr>
          </w:p>
          <w:p w:rsidR="005F2B30" w:rsidRDefault="005F2B30" w:rsidP="00D86279">
            <w:pPr>
              <w:spacing w:before="0" w:after="0"/>
              <w:rPr>
                <w:bCs/>
              </w:rPr>
            </w:pPr>
            <w:r>
              <w:rPr>
                <w:lang w:bidi="en-US"/>
              </w:rPr>
              <w:t xml:space="preserve">Parker Brent acknowledge and respect the privacy of individuals and complies with the Privacy Act 1988 including the Australian Privacy Principles in respect of the collection, use and disclosure of personal information from individuals. The record of all complaints and appeals and outcomes of these complaints and appeals are kept for a period of 7 years. All students are able to access their personal information at PB under the Freedom of Information Act 1982. </w:t>
            </w:r>
          </w:p>
        </w:tc>
      </w:tr>
    </w:tbl>
    <w:p w:rsidR="00DA0980" w:rsidRPr="00044FA6" w:rsidRDefault="00DA0980" w:rsidP="009E600F"/>
    <w:p w:rsidR="002C3462" w:rsidRDefault="002C3462" w:rsidP="009E600F">
      <w:r w:rsidRPr="00044FA6">
        <w:t xml:space="preserve">Guiding notes: </w:t>
      </w:r>
      <w:r w:rsidRPr="00044FA6">
        <w:rPr>
          <w:b/>
        </w:rPr>
        <w:t>Action</w:t>
      </w:r>
      <w:r w:rsidRPr="00044FA6">
        <w:t xml:space="preserve"> should be logical, task-based &amp; sequential; </w:t>
      </w:r>
      <w:r w:rsidRPr="00044FA6">
        <w:rPr>
          <w:b/>
        </w:rPr>
        <w:t>Action by</w:t>
      </w:r>
      <w:r w:rsidRPr="00044FA6">
        <w:t xml:space="preserve"> is the person responsible for carrying out the task; </w:t>
      </w:r>
      <w:r w:rsidRPr="00044FA6">
        <w:rPr>
          <w:b/>
        </w:rPr>
        <w:t>By when</w:t>
      </w:r>
      <w:r w:rsidRPr="00044FA6">
        <w:t xml:space="preserve"> ought to be specific in terms of when the action should be carried out; and the </w:t>
      </w:r>
      <w:r w:rsidRPr="00044FA6">
        <w:rPr>
          <w:b/>
        </w:rPr>
        <w:t>Notes</w:t>
      </w:r>
      <w:r w:rsidRPr="00044FA6">
        <w:t xml:space="preserve"> column is for additional information that might be useful</w:t>
      </w:r>
    </w:p>
    <w:p w:rsidR="00E170A2" w:rsidRDefault="00E170A2" w:rsidP="009E600F"/>
    <w:p w:rsidR="00E170A2" w:rsidRDefault="00E170A2">
      <w:pPr>
        <w:spacing w:before="0" w:after="0"/>
      </w:pPr>
      <w:r>
        <w:br w:type="page"/>
      </w:r>
    </w:p>
    <w:p w:rsidR="00E170A2" w:rsidRPr="00044FA6" w:rsidRDefault="00E170A2" w:rsidP="00E170A2">
      <w:pPr>
        <w:pStyle w:val="Heading1"/>
      </w:pPr>
      <w:r>
        <w:lastRenderedPageBreak/>
        <w:t>Appeals - Procedure</w:t>
      </w:r>
    </w:p>
    <w:p w:rsidR="00E170A2" w:rsidRPr="009E600F" w:rsidRDefault="00E170A2" w:rsidP="00E170A2">
      <w:pPr>
        <w:pStyle w:val="Heading2"/>
        <w:jc w:val="center"/>
        <w:rPr>
          <w:b w:val="0"/>
          <w:sz w:val="16"/>
          <w:szCs w:val="16"/>
        </w:rPr>
      </w:pPr>
      <w:r w:rsidRPr="009E600F">
        <w:rPr>
          <w:b w:val="0"/>
          <w:sz w:val="16"/>
          <w:szCs w:val="16"/>
        </w:rPr>
        <w:t>Uncontrolled copy when printed</w:t>
      </w:r>
    </w:p>
    <w:p w:rsidR="00E170A2" w:rsidRPr="00044FA6" w:rsidRDefault="00E170A2" w:rsidP="00E170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
        <w:gridCol w:w="2865"/>
        <w:gridCol w:w="1974"/>
        <w:gridCol w:w="1949"/>
        <w:gridCol w:w="6833"/>
      </w:tblGrid>
      <w:tr w:rsidR="00D86279" w:rsidRPr="00044FA6" w:rsidTr="008667C6">
        <w:tc>
          <w:tcPr>
            <w:tcW w:w="0" w:type="auto"/>
            <w:shd w:val="clear" w:color="auto" w:fill="D9D9D9" w:themeFill="background1" w:themeFillShade="D9"/>
          </w:tcPr>
          <w:p w:rsidR="00E170A2" w:rsidRPr="00044FA6" w:rsidRDefault="00E170A2" w:rsidP="008667C6"/>
        </w:tc>
        <w:tc>
          <w:tcPr>
            <w:tcW w:w="2900" w:type="dxa"/>
            <w:shd w:val="clear" w:color="auto" w:fill="D9D9D9" w:themeFill="background1" w:themeFillShade="D9"/>
          </w:tcPr>
          <w:p w:rsidR="00E170A2" w:rsidRPr="00044FA6" w:rsidRDefault="00E170A2" w:rsidP="008667C6">
            <w:r w:rsidRPr="00044FA6">
              <w:t>Action</w:t>
            </w:r>
          </w:p>
        </w:tc>
        <w:tc>
          <w:tcPr>
            <w:tcW w:w="1983" w:type="dxa"/>
            <w:shd w:val="clear" w:color="auto" w:fill="D9D9D9" w:themeFill="background1" w:themeFillShade="D9"/>
          </w:tcPr>
          <w:p w:rsidR="00E170A2" w:rsidRPr="00044FA6" w:rsidRDefault="00E170A2" w:rsidP="008667C6">
            <w:r w:rsidRPr="00044FA6">
              <w:t>Action by</w:t>
            </w:r>
          </w:p>
        </w:tc>
        <w:tc>
          <w:tcPr>
            <w:tcW w:w="1985" w:type="dxa"/>
            <w:shd w:val="clear" w:color="auto" w:fill="D9D9D9" w:themeFill="background1" w:themeFillShade="D9"/>
          </w:tcPr>
          <w:p w:rsidR="00E170A2" w:rsidRPr="00044FA6" w:rsidRDefault="00E170A2" w:rsidP="008667C6">
            <w:r w:rsidRPr="00044FA6">
              <w:t>By when</w:t>
            </w:r>
          </w:p>
        </w:tc>
        <w:tc>
          <w:tcPr>
            <w:tcW w:w="6980" w:type="dxa"/>
            <w:shd w:val="clear" w:color="auto" w:fill="D9D9D9" w:themeFill="background1" w:themeFillShade="D9"/>
          </w:tcPr>
          <w:p w:rsidR="00E170A2" w:rsidRPr="00044FA6" w:rsidRDefault="00E170A2" w:rsidP="008667C6">
            <w:r w:rsidRPr="00044FA6">
              <w:t>Notes</w:t>
            </w:r>
          </w:p>
        </w:tc>
      </w:tr>
      <w:tr w:rsidR="00D86279" w:rsidRPr="00044FA6" w:rsidTr="008667C6">
        <w:trPr>
          <w:trHeight w:val="730"/>
        </w:trPr>
        <w:tc>
          <w:tcPr>
            <w:tcW w:w="0" w:type="auto"/>
            <w:shd w:val="clear" w:color="auto" w:fill="D9D9D9" w:themeFill="background1" w:themeFillShade="D9"/>
          </w:tcPr>
          <w:p w:rsidR="00E170A2" w:rsidRPr="00044FA6" w:rsidRDefault="00E170A2" w:rsidP="008667C6">
            <w:r w:rsidRPr="00044FA6">
              <w:t>1</w:t>
            </w:r>
          </w:p>
        </w:tc>
        <w:tc>
          <w:tcPr>
            <w:tcW w:w="2900" w:type="dxa"/>
          </w:tcPr>
          <w:p w:rsidR="00E170A2" w:rsidRPr="00044FA6" w:rsidRDefault="00E170A2" w:rsidP="004971CA">
            <w:r w:rsidRPr="00724DC5">
              <w:t xml:space="preserve">If a student wishes to appeal their assessment result, they may first discuss the issue with the trainer/assessor </w:t>
            </w:r>
            <w:r w:rsidR="00D86279">
              <w:t xml:space="preserve">or another staff </w:t>
            </w:r>
            <w:r w:rsidR="004971CA">
              <w:t>member at Parker Brent</w:t>
            </w:r>
            <w:r w:rsidR="00490FFB">
              <w:t>.</w:t>
            </w:r>
          </w:p>
        </w:tc>
        <w:tc>
          <w:tcPr>
            <w:tcW w:w="1983" w:type="dxa"/>
          </w:tcPr>
          <w:p w:rsidR="004971CA" w:rsidRDefault="00D86279" w:rsidP="004971CA">
            <w:r>
              <w:t>Trainer/</w:t>
            </w:r>
            <w:r w:rsidR="004971CA">
              <w:t xml:space="preserve">Training Manager </w:t>
            </w:r>
          </w:p>
          <w:p w:rsidR="00AF01FA" w:rsidRPr="00044FA6" w:rsidRDefault="000512CD" w:rsidP="004971CA">
            <w:r>
              <w:t>CEO</w:t>
            </w:r>
          </w:p>
        </w:tc>
        <w:tc>
          <w:tcPr>
            <w:tcW w:w="1985" w:type="dxa"/>
          </w:tcPr>
          <w:p w:rsidR="00E170A2" w:rsidRPr="00044FA6" w:rsidRDefault="00E170A2" w:rsidP="008667C6"/>
        </w:tc>
        <w:tc>
          <w:tcPr>
            <w:tcW w:w="6980" w:type="dxa"/>
          </w:tcPr>
          <w:p w:rsidR="00E170A2" w:rsidRPr="00044FA6" w:rsidRDefault="00E170A2" w:rsidP="00D86279">
            <w:r w:rsidRPr="00724DC5">
              <w:t>If the student would like to proceed further with the request after discussions with the traine</w:t>
            </w:r>
            <w:r w:rsidR="00D86279">
              <w:t xml:space="preserve">r/assessor, a formal request must be </w:t>
            </w:r>
            <w:r w:rsidRPr="00724DC5">
              <w:t>made in writing outlining the reason(s) for the appeal using the ‘</w:t>
            </w:r>
            <w:r>
              <w:t>Record of Student Complaint</w:t>
            </w:r>
            <w:r w:rsidR="006C4F94">
              <w:t xml:space="preserve">s and </w:t>
            </w:r>
            <w:r w:rsidRPr="00724DC5">
              <w:t>Appeal</w:t>
            </w:r>
            <w:r w:rsidR="006C4F94">
              <w:t>s</w:t>
            </w:r>
            <w:r>
              <w:t>’</w:t>
            </w:r>
            <w:r w:rsidR="006C4F94">
              <w:t xml:space="preserve"> form</w:t>
            </w:r>
            <w:r w:rsidRPr="00724DC5">
              <w:t>.</w:t>
            </w:r>
            <w:r w:rsidR="0005277B">
              <w:t xml:space="preserve">  This must be forw</w:t>
            </w:r>
            <w:r w:rsidR="004971CA">
              <w:t>arded to the Training Team</w:t>
            </w:r>
            <w:r w:rsidRPr="00724DC5">
              <w:t xml:space="preserve"> within </w:t>
            </w:r>
            <w:r>
              <w:t>14</w:t>
            </w:r>
            <w:r w:rsidRPr="00724DC5">
              <w:t xml:space="preserve"> days of the student receiving their assessment results</w:t>
            </w:r>
            <w:r>
              <w:t>.</w:t>
            </w:r>
          </w:p>
        </w:tc>
      </w:tr>
      <w:tr w:rsidR="00D86279" w:rsidRPr="00044FA6" w:rsidTr="008667C6">
        <w:trPr>
          <w:trHeight w:val="463"/>
        </w:trPr>
        <w:tc>
          <w:tcPr>
            <w:tcW w:w="0" w:type="auto"/>
            <w:shd w:val="clear" w:color="auto" w:fill="D9D9D9" w:themeFill="background1" w:themeFillShade="D9"/>
          </w:tcPr>
          <w:p w:rsidR="00E170A2" w:rsidRPr="00044FA6" w:rsidRDefault="00E170A2" w:rsidP="008667C6">
            <w:r w:rsidRPr="00044FA6">
              <w:t>2</w:t>
            </w:r>
          </w:p>
        </w:tc>
        <w:tc>
          <w:tcPr>
            <w:tcW w:w="2900" w:type="dxa"/>
          </w:tcPr>
          <w:p w:rsidR="00E170A2" w:rsidRPr="00724DC5" w:rsidRDefault="00E170A2" w:rsidP="00E170A2">
            <w:r w:rsidRPr="00724DC5">
              <w:t xml:space="preserve">Each appeal will be heard by an independent person or panel.  </w:t>
            </w:r>
          </w:p>
          <w:p w:rsidR="00E170A2" w:rsidRPr="00044FA6" w:rsidRDefault="00E170A2" w:rsidP="00E170A2"/>
        </w:tc>
        <w:tc>
          <w:tcPr>
            <w:tcW w:w="1983" w:type="dxa"/>
          </w:tcPr>
          <w:p w:rsidR="00E170A2" w:rsidRPr="00044FA6" w:rsidRDefault="004971CA" w:rsidP="004971CA">
            <w:r>
              <w:t>CEO</w:t>
            </w:r>
            <w:r w:rsidR="00D86279">
              <w:t xml:space="preserve"> </w:t>
            </w:r>
          </w:p>
        </w:tc>
        <w:tc>
          <w:tcPr>
            <w:tcW w:w="1985" w:type="dxa"/>
          </w:tcPr>
          <w:p w:rsidR="00E170A2" w:rsidRPr="00044FA6" w:rsidRDefault="00E170A2" w:rsidP="008667C6"/>
        </w:tc>
        <w:tc>
          <w:tcPr>
            <w:tcW w:w="6980" w:type="dxa"/>
          </w:tcPr>
          <w:p w:rsidR="00E170A2" w:rsidRPr="00724DC5" w:rsidRDefault="00E170A2" w:rsidP="00E170A2">
            <w:r w:rsidRPr="00724DC5">
              <w:t xml:space="preserve">Every effort is made to </w:t>
            </w:r>
            <w:r w:rsidR="00D86279">
              <w:t>ensure a satisfactory outcome for bo</w:t>
            </w:r>
            <w:r w:rsidR="004971CA">
              <w:t>th the student and Parker Brent.</w:t>
            </w:r>
          </w:p>
          <w:p w:rsidR="00E170A2" w:rsidRPr="00044FA6" w:rsidRDefault="00E170A2" w:rsidP="008667C6">
            <w:pPr>
              <w:rPr>
                <w:lang w:bidi="en-US"/>
              </w:rPr>
            </w:pPr>
            <w:r w:rsidRPr="00724DC5">
              <w:t>Each person has an opportunity to formally present his or her case and is given a written statement of the appeal outcomes, including reasons for the decision.</w:t>
            </w:r>
          </w:p>
        </w:tc>
      </w:tr>
      <w:tr w:rsidR="00D86279" w:rsidRPr="00044FA6" w:rsidTr="008667C6">
        <w:trPr>
          <w:trHeight w:val="463"/>
        </w:trPr>
        <w:tc>
          <w:tcPr>
            <w:tcW w:w="0" w:type="auto"/>
            <w:shd w:val="clear" w:color="auto" w:fill="D9D9D9" w:themeFill="background1" w:themeFillShade="D9"/>
          </w:tcPr>
          <w:p w:rsidR="00E170A2" w:rsidRPr="00044FA6" w:rsidRDefault="00E170A2" w:rsidP="008667C6">
            <w:r>
              <w:t>3</w:t>
            </w:r>
          </w:p>
        </w:tc>
        <w:tc>
          <w:tcPr>
            <w:tcW w:w="2900" w:type="dxa"/>
          </w:tcPr>
          <w:p w:rsidR="00E170A2" w:rsidRPr="00044FA6" w:rsidRDefault="00E170A2" w:rsidP="008667C6">
            <w:r w:rsidRPr="00724DC5">
              <w:t>Should the outcome not be acceptable to the student, they will be informed, in writing, of the opportunity to lodge a complaint with the VRQA.</w:t>
            </w:r>
          </w:p>
        </w:tc>
        <w:tc>
          <w:tcPr>
            <w:tcW w:w="1983" w:type="dxa"/>
          </w:tcPr>
          <w:p w:rsidR="00E170A2" w:rsidRPr="00044FA6" w:rsidRDefault="00D86279" w:rsidP="008667C6">
            <w:r>
              <w:t>CEO</w:t>
            </w:r>
          </w:p>
        </w:tc>
        <w:tc>
          <w:tcPr>
            <w:tcW w:w="1985" w:type="dxa"/>
          </w:tcPr>
          <w:p w:rsidR="00E170A2" w:rsidRPr="00044FA6" w:rsidRDefault="00E170A2" w:rsidP="008667C6"/>
        </w:tc>
        <w:tc>
          <w:tcPr>
            <w:tcW w:w="6980" w:type="dxa"/>
          </w:tcPr>
          <w:p w:rsidR="00E170A2" w:rsidRPr="00044FA6" w:rsidRDefault="00E170A2" w:rsidP="008667C6"/>
        </w:tc>
      </w:tr>
    </w:tbl>
    <w:p w:rsidR="00E170A2" w:rsidRPr="00044FA6" w:rsidRDefault="00E170A2" w:rsidP="00E170A2"/>
    <w:p w:rsidR="00E170A2" w:rsidRDefault="00E170A2" w:rsidP="009E600F">
      <w:r w:rsidRPr="00044FA6">
        <w:t xml:space="preserve">Guiding notes: </w:t>
      </w:r>
      <w:r w:rsidRPr="00044FA6">
        <w:rPr>
          <w:b/>
        </w:rPr>
        <w:t>Action</w:t>
      </w:r>
      <w:r w:rsidRPr="00044FA6">
        <w:t xml:space="preserve"> should be logical, task-based &amp; sequential; </w:t>
      </w:r>
      <w:r w:rsidRPr="00044FA6">
        <w:rPr>
          <w:b/>
        </w:rPr>
        <w:t>Action by</w:t>
      </w:r>
      <w:r w:rsidRPr="00044FA6">
        <w:t xml:space="preserve"> is the person responsible for carrying out the task; </w:t>
      </w:r>
      <w:r w:rsidRPr="00044FA6">
        <w:rPr>
          <w:b/>
        </w:rPr>
        <w:t>By when</w:t>
      </w:r>
      <w:r w:rsidRPr="00044FA6">
        <w:t xml:space="preserve"> ought to be specific in terms of when the action should be carried out; and the </w:t>
      </w:r>
      <w:r w:rsidRPr="00044FA6">
        <w:rPr>
          <w:b/>
        </w:rPr>
        <w:t>Notes</w:t>
      </w:r>
      <w:r w:rsidRPr="00044FA6">
        <w:t xml:space="preserve"> column is for additional information that might be useful</w:t>
      </w:r>
    </w:p>
    <w:sectPr w:rsidR="00E170A2" w:rsidSect="00B81A1C">
      <w:pgSz w:w="16840" w:h="11907" w:orient="landscape" w:code="9"/>
      <w:pgMar w:top="0" w:right="1440" w:bottom="567"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402" w:rsidRDefault="00B45402" w:rsidP="009E600F">
      <w:r>
        <w:separator/>
      </w:r>
    </w:p>
  </w:endnote>
  <w:endnote w:type="continuationSeparator" w:id="0">
    <w:p w:rsidR="00B45402" w:rsidRDefault="00B45402" w:rsidP="009E6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9D4" w:rsidRPr="009E600F" w:rsidRDefault="001C0C0B" w:rsidP="009E600F">
    <w:pPr>
      <w:pStyle w:val="Footer"/>
      <w:tabs>
        <w:tab w:val="clear" w:pos="4153"/>
        <w:tab w:val="clear" w:pos="8306"/>
        <w:tab w:val="center" w:pos="6946"/>
        <w:tab w:val="right" w:pos="14034"/>
      </w:tabs>
      <w:rPr>
        <w:sz w:val="16"/>
        <w:szCs w:val="16"/>
        <w:lang w:bidi="en-US"/>
      </w:rPr>
    </w:pPr>
    <w:r>
      <w:rPr>
        <w:sz w:val="16"/>
        <w:szCs w:val="16"/>
        <w:lang w:bidi="en-US"/>
      </w:rPr>
      <w:fldChar w:fldCharType="begin"/>
    </w:r>
    <w:r>
      <w:rPr>
        <w:sz w:val="16"/>
        <w:szCs w:val="16"/>
        <w:lang w:bidi="en-US"/>
      </w:rPr>
      <w:instrText xml:space="preserve"> FILENAME  \* FirstCap  \* MERGEFORMAT </w:instrText>
    </w:r>
    <w:r>
      <w:rPr>
        <w:sz w:val="16"/>
        <w:szCs w:val="16"/>
        <w:lang w:bidi="en-US"/>
      </w:rPr>
      <w:fldChar w:fldCharType="separate"/>
    </w:r>
    <w:r>
      <w:rPr>
        <w:noProof/>
        <w:sz w:val="16"/>
        <w:szCs w:val="16"/>
        <w:lang w:bidi="en-US"/>
      </w:rPr>
      <w:t>Complaints and Appeals Procedure v1.6 December 2018</w:t>
    </w:r>
    <w:r>
      <w:rPr>
        <w:sz w:val="16"/>
        <w:szCs w:val="16"/>
        <w:lang w:bidi="en-US"/>
      </w:rPr>
      <w:fldChar w:fldCharType="end"/>
    </w:r>
    <w:r w:rsidR="00980F2A" w:rsidRPr="009E600F">
      <w:rPr>
        <w:sz w:val="16"/>
        <w:szCs w:val="16"/>
        <w:lang w:bidi="en-US"/>
      </w:rPr>
      <w:tab/>
    </w:r>
    <w:r w:rsidR="00980F2A" w:rsidRPr="009E600F">
      <w:rPr>
        <w:sz w:val="16"/>
        <w:szCs w:val="16"/>
        <w:lang w:bidi="en-US"/>
      </w:rPr>
      <w:tab/>
    </w:r>
    <w:r w:rsidR="00090A35">
      <w:rPr>
        <w:sz w:val="16"/>
        <w:szCs w:val="16"/>
        <w:lang w:bidi="en-US"/>
      </w:rPr>
      <w:fldChar w:fldCharType="begin"/>
    </w:r>
    <w:r w:rsidR="00090A35">
      <w:rPr>
        <w:sz w:val="16"/>
        <w:szCs w:val="16"/>
        <w:lang w:bidi="en-US"/>
      </w:rPr>
      <w:instrText xml:space="preserve"> PAGE  \* Arabic  \* MERGEFORMAT </w:instrText>
    </w:r>
    <w:r w:rsidR="00090A35">
      <w:rPr>
        <w:sz w:val="16"/>
        <w:szCs w:val="16"/>
        <w:lang w:bidi="en-US"/>
      </w:rPr>
      <w:fldChar w:fldCharType="separate"/>
    </w:r>
    <w:r w:rsidR="00F25FCC">
      <w:rPr>
        <w:noProof/>
        <w:sz w:val="16"/>
        <w:szCs w:val="16"/>
        <w:lang w:bidi="en-US"/>
      </w:rPr>
      <w:t>7</w:t>
    </w:r>
    <w:r w:rsidR="00090A35">
      <w:rPr>
        <w:sz w:val="16"/>
        <w:szCs w:val="16"/>
        <w:lang w:bidi="en-US"/>
      </w:rPr>
      <w:fldChar w:fldCharType="end"/>
    </w:r>
    <w:r w:rsidR="00090A35">
      <w:rPr>
        <w:sz w:val="16"/>
        <w:szCs w:val="16"/>
        <w:lang w:bidi="en-US"/>
      </w:rPr>
      <w:t xml:space="preserve"> of </w:t>
    </w:r>
    <w:r w:rsidR="00090A35">
      <w:rPr>
        <w:sz w:val="16"/>
        <w:szCs w:val="16"/>
        <w:lang w:bidi="en-US"/>
      </w:rPr>
      <w:fldChar w:fldCharType="begin"/>
    </w:r>
    <w:r w:rsidR="00090A35">
      <w:rPr>
        <w:sz w:val="16"/>
        <w:szCs w:val="16"/>
        <w:lang w:bidi="en-US"/>
      </w:rPr>
      <w:instrText xml:space="preserve"> NUMPAGES  \* Arabic  \* MERGEFORMAT </w:instrText>
    </w:r>
    <w:r w:rsidR="00090A35">
      <w:rPr>
        <w:sz w:val="16"/>
        <w:szCs w:val="16"/>
        <w:lang w:bidi="en-US"/>
      </w:rPr>
      <w:fldChar w:fldCharType="separate"/>
    </w:r>
    <w:r w:rsidR="00F25FCC">
      <w:rPr>
        <w:noProof/>
        <w:sz w:val="16"/>
        <w:szCs w:val="16"/>
        <w:lang w:bidi="en-US"/>
      </w:rPr>
      <w:t>7</w:t>
    </w:r>
    <w:r w:rsidR="00090A35">
      <w:rPr>
        <w:sz w:val="16"/>
        <w:szCs w:val="16"/>
        <w:lang w:bidi="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402" w:rsidRDefault="00B45402" w:rsidP="009E600F">
      <w:r>
        <w:separator/>
      </w:r>
    </w:p>
  </w:footnote>
  <w:footnote w:type="continuationSeparator" w:id="0">
    <w:p w:rsidR="00B45402" w:rsidRDefault="00B45402" w:rsidP="009E6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9D4" w:rsidRPr="00044FA6" w:rsidRDefault="00090A35" w:rsidP="009E600F">
    <w:pPr>
      <w:pStyle w:val="Header"/>
    </w:pPr>
    <w:r w:rsidRPr="003F0A5F">
      <w:rPr>
        <w:noProof/>
        <w:lang w:val="en-AU" w:eastAsia="en-AU"/>
      </w:rPr>
      <w:drawing>
        <wp:anchor distT="0" distB="0" distL="114300" distR="114300" simplePos="0" relativeHeight="251659264" behindDoc="0" locked="0" layoutInCell="1" allowOverlap="1" wp14:anchorId="1CD5762C" wp14:editId="44233932">
          <wp:simplePos x="0" y="0"/>
          <wp:positionH relativeFrom="margin">
            <wp:align>right</wp:align>
          </wp:positionH>
          <wp:positionV relativeFrom="paragraph">
            <wp:posOffset>85725</wp:posOffset>
          </wp:positionV>
          <wp:extent cx="1225930" cy="35052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1.png@01CBFDBF.5491C0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5930" cy="350520"/>
                  </a:xfrm>
                  <a:prstGeom prst="rect">
                    <a:avLst/>
                  </a:prstGeom>
                  <a:noFill/>
                  <a:ln w="9525">
                    <a:noFill/>
                    <a:miter lim="800000"/>
                    <a:headEnd/>
                    <a:tailEnd/>
                  </a:ln>
                </pic:spPr>
              </pic:pic>
            </a:graphicData>
          </a:graphic>
          <wp14:sizeRelH relativeFrom="margin">
            <wp14:pctWidth>0</wp14:pctWidth>
          </wp14:sizeRelH>
        </wp:anchor>
      </w:drawing>
    </w:r>
  </w:p>
  <w:p w:rsidR="001839D4" w:rsidRDefault="001839D4" w:rsidP="009E6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15203"/>
    <w:multiLevelType w:val="multilevel"/>
    <w:tmpl w:val="E8EE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D5800"/>
    <w:multiLevelType w:val="hybridMultilevel"/>
    <w:tmpl w:val="A5C4C158"/>
    <w:lvl w:ilvl="0" w:tplc="FD845086">
      <w:start w:val="1"/>
      <w:numFmt w:val="bullet"/>
      <w:lvlText w:val=""/>
      <w:lvlJc w:val="left"/>
      <w:pPr>
        <w:ind w:left="720" w:hanging="360"/>
      </w:pPr>
      <w:rPr>
        <w:rFonts w:ascii="Wingdings" w:hAnsi="Wingdings" w:hint="default"/>
        <w:sz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DC7AF8"/>
    <w:multiLevelType w:val="hybridMultilevel"/>
    <w:tmpl w:val="9232F59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992C46"/>
    <w:multiLevelType w:val="hybridMultilevel"/>
    <w:tmpl w:val="CDC80D30"/>
    <w:lvl w:ilvl="0" w:tplc="196A7270">
      <w:start w:val="1"/>
      <w:numFmt w:val="bullet"/>
      <w:lvlText w:val="-"/>
      <w:lvlJc w:val="left"/>
      <w:pPr>
        <w:tabs>
          <w:tab w:val="num" w:pos="720"/>
        </w:tabs>
        <w:ind w:left="720" w:hanging="360"/>
      </w:pPr>
      <w:rPr>
        <w:rFonts w:ascii="Times New Roman" w:eastAsia="SimSu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720B11"/>
    <w:multiLevelType w:val="hybridMultilevel"/>
    <w:tmpl w:val="6D6E92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2CF6049"/>
    <w:multiLevelType w:val="hybridMultilevel"/>
    <w:tmpl w:val="71343BDA"/>
    <w:lvl w:ilvl="0" w:tplc="0C090001">
      <w:start w:val="1"/>
      <w:numFmt w:val="bullet"/>
      <w:pStyle w:val="Bullets"/>
      <w:lvlText w:val=""/>
      <w:lvlJc w:val="left"/>
      <w:pPr>
        <w:ind w:left="360" w:hanging="360"/>
      </w:pPr>
      <w:rPr>
        <w:rFonts w:ascii="Wingdings" w:hAnsi="Wingdings" w:hint="default"/>
      </w:rPr>
    </w:lvl>
    <w:lvl w:ilvl="1" w:tplc="0C090003">
      <w:numFmt w:val="bullet"/>
      <w:lvlText w:val="-"/>
      <w:lvlJc w:val="left"/>
      <w:pPr>
        <w:ind w:left="1080" w:hanging="360"/>
      </w:pPr>
      <w:rPr>
        <w:rFonts w:ascii="Courier New" w:eastAsia="Times New Roman" w:hAnsi="Courier New" w:hint="default"/>
      </w:rPr>
    </w:lvl>
    <w:lvl w:ilvl="2" w:tplc="0C090005">
      <w:start w:val="1"/>
      <w:numFmt w:val="bullet"/>
      <w:lvlText w:val=""/>
      <w:lvlJc w:val="left"/>
      <w:pPr>
        <w:ind w:left="1800" w:hanging="360"/>
      </w:pPr>
      <w:rPr>
        <w:rFonts w:ascii="Wingdings" w:hAnsi="Wingdings" w:hint="default"/>
      </w:rPr>
    </w:lvl>
    <w:lvl w:ilvl="3" w:tplc="0C090001">
      <w:numFmt w:val="bullet"/>
      <w:lvlText w:val="•"/>
      <w:lvlJc w:val="left"/>
      <w:pPr>
        <w:ind w:left="2880" w:hanging="720"/>
      </w:pPr>
      <w:rPr>
        <w:rFonts w:ascii="Calibri" w:eastAsiaTheme="minorEastAsia" w:hAnsi="Calibri" w:cs="Calibri"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7763D5E"/>
    <w:multiLevelType w:val="multilevel"/>
    <w:tmpl w:val="0A468D4E"/>
    <w:lvl w:ilvl="0">
      <w:start w:val="1"/>
      <w:numFmt w:val="decimal"/>
      <w:pStyle w:val="QPHeading"/>
      <w:lvlText w:val="%1.0"/>
      <w:lvlJc w:val="left"/>
      <w:pPr>
        <w:tabs>
          <w:tab w:val="num" w:pos="709"/>
        </w:tabs>
        <w:ind w:left="709" w:hanging="567"/>
      </w:pPr>
      <w:rPr>
        <w:rFonts w:hint="default"/>
        <w:b/>
        <w:sz w:val="20"/>
      </w:rPr>
    </w:lvl>
    <w:lvl w:ilvl="1">
      <w:start w:val="1"/>
      <w:numFmt w:val="decimal"/>
      <w:pStyle w:val="QPSubHeading"/>
      <w:lvlText w:val="%1.%2"/>
      <w:lvlJc w:val="left"/>
      <w:pPr>
        <w:tabs>
          <w:tab w:val="num" w:pos="1134"/>
        </w:tabs>
        <w:ind w:left="1134" w:hanging="567"/>
      </w:pPr>
      <w:rPr>
        <w:rFonts w:hint="default"/>
        <w:b w:val="0"/>
        <w:i w:val="0"/>
      </w:rPr>
    </w:lvl>
    <w:lvl w:ilvl="2">
      <w:start w:val="1"/>
      <w:numFmt w:val="decimal"/>
      <w:lvlText w:val="%1.%2.%3"/>
      <w:lvlJc w:val="left"/>
      <w:pPr>
        <w:tabs>
          <w:tab w:val="num" w:pos="1516"/>
        </w:tabs>
        <w:ind w:left="1516" w:hanging="720"/>
      </w:pPr>
      <w:rPr>
        <w:rFonts w:hint="default"/>
        <w:b/>
      </w:rPr>
    </w:lvl>
    <w:lvl w:ilvl="3">
      <w:start w:val="1"/>
      <w:numFmt w:val="decimal"/>
      <w:lvlText w:val="%1.%2.%3.%4"/>
      <w:lvlJc w:val="left"/>
      <w:pPr>
        <w:tabs>
          <w:tab w:val="num" w:pos="1876"/>
        </w:tabs>
        <w:ind w:left="1876" w:hanging="720"/>
      </w:pPr>
      <w:rPr>
        <w:rFonts w:hint="default"/>
        <w:b/>
      </w:rPr>
    </w:lvl>
    <w:lvl w:ilvl="4">
      <w:start w:val="1"/>
      <w:numFmt w:val="decimal"/>
      <w:lvlText w:val="%1.%2.%3.%4.%5"/>
      <w:lvlJc w:val="left"/>
      <w:pPr>
        <w:tabs>
          <w:tab w:val="num" w:pos="2596"/>
        </w:tabs>
        <w:ind w:left="2596" w:hanging="1080"/>
      </w:pPr>
      <w:rPr>
        <w:rFonts w:hint="default"/>
        <w:b/>
      </w:rPr>
    </w:lvl>
    <w:lvl w:ilvl="5">
      <w:start w:val="1"/>
      <w:numFmt w:val="decimal"/>
      <w:lvlText w:val="%1.%2.%3.%4.%5.%6"/>
      <w:lvlJc w:val="left"/>
      <w:pPr>
        <w:tabs>
          <w:tab w:val="num" w:pos="2956"/>
        </w:tabs>
        <w:ind w:left="2956" w:hanging="1080"/>
      </w:pPr>
      <w:rPr>
        <w:rFonts w:hint="default"/>
        <w:b/>
      </w:rPr>
    </w:lvl>
    <w:lvl w:ilvl="6">
      <w:start w:val="1"/>
      <w:numFmt w:val="decimal"/>
      <w:lvlText w:val="%1.%2.%3.%4.%5.%6.%7"/>
      <w:lvlJc w:val="left"/>
      <w:pPr>
        <w:tabs>
          <w:tab w:val="num" w:pos="3676"/>
        </w:tabs>
        <w:ind w:left="3676" w:hanging="1440"/>
      </w:pPr>
      <w:rPr>
        <w:rFonts w:hint="default"/>
        <w:b/>
      </w:rPr>
    </w:lvl>
    <w:lvl w:ilvl="7">
      <w:start w:val="1"/>
      <w:numFmt w:val="decimal"/>
      <w:lvlText w:val="%1.%2.%3.%4.%5.%6.%7.%8"/>
      <w:lvlJc w:val="left"/>
      <w:pPr>
        <w:tabs>
          <w:tab w:val="num" w:pos="4036"/>
        </w:tabs>
        <w:ind w:left="4036" w:hanging="1440"/>
      </w:pPr>
      <w:rPr>
        <w:rFonts w:hint="default"/>
        <w:b/>
      </w:rPr>
    </w:lvl>
    <w:lvl w:ilvl="8">
      <w:start w:val="1"/>
      <w:numFmt w:val="decimal"/>
      <w:lvlText w:val="%1.%2.%3.%4.%5.%6.%7.%8.%9"/>
      <w:lvlJc w:val="left"/>
      <w:pPr>
        <w:tabs>
          <w:tab w:val="num" w:pos="4756"/>
        </w:tabs>
        <w:ind w:left="4756" w:hanging="1800"/>
      </w:pPr>
      <w:rPr>
        <w:rFonts w:hint="default"/>
        <w:b/>
      </w:rPr>
    </w:lvl>
  </w:abstractNum>
  <w:abstractNum w:abstractNumId="7" w15:restartNumberingAfterBreak="0">
    <w:nsid w:val="54C95AED"/>
    <w:multiLevelType w:val="hybridMultilevel"/>
    <w:tmpl w:val="F386F83E"/>
    <w:lvl w:ilvl="0" w:tplc="88DA788C">
      <w:numFmt w:val="bullet"/>
      <w:lvlText w:val=""/>
      <w:lvlJc w:val="left"/>
      <w:pPr>
        <w:ind w:left="720" w:hanging="360"/>
      </w:pPr>
      <w:rPr>
        <w:rFonts w:ascii="Symbol" w:eastAsia="SimSu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2E0EA9"/>
    <w:multiLevelType w:val="hybridMultilevel"/>
    <w:tmpl w:val="802C882A"/>
    <w:lvl w:ilvl="0" w:tplc="9E5CDB52">
      <w:start w:val="1"/>
      <w:numFmt w:val="bullet"/>
      <w:pStyle w:val="StyleQABulletsCenturyGothicAfter2pt"/>
      <w:lvlText w:val="-"/>
      <w:lvlJc w:val="left"/>
      <w:pPr>
        <w:tabs>
          <w:tab w:val="num" w:pos="720"/>
        </w:tabs>
        <w:ind w:left="720" w:hanging="360"/>
      </w:pPr>
      <w:rPr>
        <w:rFonts w:ascii="Times New Roman" w:eastAsia="SimSu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584842"/>
    <w:multiLevelType w:val="hybridMultilevel"/>
    <w:tmpl w:val="9C249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6A1561"/>
    <w:multiLevelType w:val="hybridMultilevel"/>
    <w:tmpl w:val="D506E25E"/>
    <w:lvl w:ilvl="0" w:tplc="8F4E4C04">
      <w:start w:val="1"/>
      <w:numFmt w:val="decimal"/>
      <w:pStyle w:val="StyleQPSubHeadingAfter2pt"/>
      <w:lvlText w:val="%1."/>
      <w:lvlJc w:val="left"/>
      <w:pPr>
        <w:tabs>
          <w:tab w:val="num" w:pos="1134"/>
        </w:tabs>
        <w:ind w:left="1134"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225C13"/>
    <w:multiLevelType w:val="hybridMultilevel"/>
    <w:tmpl w:val="859C2A86"/>
    <w:lvl w:ilvl="0" w:tplc="0D20ED6C">
      <w:start w:val="1"/>
      <w:numFmt w:val="bullet"/>
      <w:pStyle w:val="QABullets"/>
      <w:lvlText w:val=""/>
      <w:lvlJc w:val="left"/>
      <w:pPr>
        <w:tabs>
          <w:tab w:val="num" w:pos="-126"/>
        </w:tabs>
        <w:ind w:left="149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E47D87"/>
    <w:multiLevelType w:val="hybridMultilevel"/>
    <w:tmpl w:val="FCC231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11"/>
  </w:num>
  <w:num w:numId="5">
    <w:abstractNumId w:val="9"/>
  </w:num>
  <w:num w:numId="6">
    <w:abstractNumId w:val="6"/>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num>
  <w:num w:numId="14">
    <w:abstractNumId w:val="6"/>
  </w:num>
  <w:num w:numId="15">
    <w:abstractNumId w:val="6"/>
  </w:num>
  <w:num w:numId="16">
    <w:abstractNumId w:val="6"/>
  </w:num>
  <w:num w:numId="17">
    <w:abstractNumId w:val="6"/>
  </w:num>
  <w:num w:numId="18">
    <w:abstractNumId w:val="10"/>
  </w:num>
  <w:num w:numId="19">
    <w:abstractNumId w:val="10"/>
    <w:lvlOverride w:ilvl="0">
      <w:startOverride w:val="1"/>
    </w:lvlOverride>
  </w:num>
  <w:num w:numId="20">
    <w:abstractNumId w:val="8"/>
  </w:num>
  <w:num w:numId="21">
    <w:abstractNumId w:val="12"/>
  </w:num>
  <w:num w:numId="22">
    <w:abstractNumId w:val="8"/>
  </w:num>
  <w:num w:numId="23">
    <w:abstractNumId w:val="2"/>
  </w:num>
  <w:num w:numId="24">
    <w:abstractNumId w:val="5"/>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849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_Subject" w:val="ELICOS"/>
    <w:docVar w:name="Doc_Title" w:val="Student Enrolment"/>
    <w:docVar w:name="Doc_Version" w:val="1.0"/>
    <w:docVar w:name="History" w:val="Ahmed|26/11/2009 10:04 AM|1.0"/>
  </w:docVars>
  <w:rsids>
    <w:rsidRoot w:val="003E44FB"/>
    <w:rsid w:val="000042DB"/>
    <w:rsid w:val="0000510C"/>
    <w:rsid w:val="000052A3"/>
    <w:rsid w:val="00006672"/>
    <w:rsid w:val="00013398"/>
    <w:rsid w:val="000215EB"/>
    <w:rsid w:val="00022FC8"/>
    <w:rsid w:val="00024D93"/>
    <w:rsid w:val="000275F3"/>
    <w:rsid w:val="000308AB"/>
    <w:rsid w:val="00035C2B"/>
    <w:rsid w:val="00035C7A"/>
    <w:rsid w:val="0004090B"/>
    <w:rsid w:val="00044FA6"/>
    <w:rsid w:val="0004665D"/>
    <w:rsid w:val="00047A69"/>
    <w:rsid w:val="000512CD"/>
    <w:rsid w:val="0005277B"/>
    <w:rsid w:val="000536B9"/>
    <w:rsid w:val="00053855"/>
    <w:rsid w:val="0005585C"/>
    <w:rsid w:val="0005629F"/>
    <w:rsid w:val="0006500D"/>
    <w:rsid w:val="00066199"/>
    <w:rsid w:val="000733AD"/>
    <w:rsid w:val="00075D9F"/>
    <w:rsid w:val="0007662C"/>
    <w:rsid w:val="00083A0B"/>
    <w:rsid w:val="0008456B"/>
    <w:rsid w:val="00090A35"/>
    <w:rsid w:val="00092392"/>
    <w:rsid w:val="0009459C"/>
    <w:rsid w:val="000B556B"/>
    <w:rsid w:val="000B6CAF"/>
    <w:rsid w:val="000C6425"/>
    <w:rsid w:val="000E05E9"/>
    <w:rsid w:val="000E19E6"/>
    <w:rsid w:val="000E71CE"/>
    <w:rsid w:val="00101AA3"/>
    <w:rsid w:val="00103901"/>
    <w:rsid w:val="00112109"/>
    <w:rsid w:val="0011249A"/>
    <w:rsid w:val="00122C61"/>
    <w:rsid w:val="00131FC7"/>
    <w:rsid w:val="001327AD"/>
    <w:rsid w:val="001342D9"/>
    <w:rsid w:val="00142C27"/>
    <w:rsid w:val="0016050B"/>
    <w:rsid w:val="0017006A"/>
    <w:rsid w:val="001839D4"/>
    <w:rsid w:val="00183ED3"/>
    <w:rsid w:val="001841AC"/>
    <w:rsid w:val="00187A0C"/>
    <w:rsid w:val="00197B43"/>
    <w:rsid w:val="001A32C1"/>
    <w:rsid w:val="001B0F77"/>
    <w:rsid w:val="001B1680"/>
    <w:rsid w:val="001C0C0B"/>
    <w:rsid w:val="001C29FD"/>
    <w:rsid w:val="001C4650"/>
    <w:rsid w:val="001C5538"/>
    <w:rsid w:val="001D0B7A"/>
    <w:rsid w:val="001E07FB"/>
    <w:rsid w:val="001E630D"/>
    <w:rsid w:val="0020242B"/>
    <w:rsid w:val="0020714A"/>
    <w:rsid w:val="00210634"/>
    <w:rsid w:val="00224DC3"/>
    <w:rsid w:val="00224E65"/>
    <w:rsid w:val="00244DE7"/>
    <w:rsid w:val="002536EF"/>
    <w:rsid w:val="002553A0"/>
    <w:rsid w:val="00262AB8"/>
    <w:rsid w:val="00262BD4"/>
    <w:rsid w:val="002715CB"/>
    <w:rsid w:val="00277121"/>
    <w:rsid w:val="0028011F"/>
    <w:rsid w:val="00282DC3"/>
    <w:rsid w:val="0028341F"/>
    <w:rsid w:val="00284112"/>
    <w:rsid w:val="00284791"/>
    <w:rsid w:val="00292ACC"/>
    <w:rsid w:val="002A7BD7"/>
    <w:rsid w:val="002B457B"/>
    <w:rsid w:val="002C3462"/>
    <w:rsid w:val="002C4499"/>
    <w:rsid w:val="002D313E"/>
    <w:rsid w:val="002D3801"/>
    <w:rsid w:val="002E1F90"/>
    <w:rsid w:val="002E5DF0"/>
    <w:rsid w:val="002E6665"/>
    <w:rsid w:val="002F76BA"/>
    <w:rsid w:val="003021C4"/>
    <w:rsid w:val="00307AB8"/>
    <w:rsid w:val="00313CE5"/>
    <w:rsid w:val="0032044D"/>
    <w:rsid w:val="003350EC"/>
    <w:rsid w:val="00335687"/>
    <w:rsid w:val="00335CBB"/>
    <w:rsid w:val="003441D0"/>
    <w:rsid w:val="00357981"/>
    <w:rsid w:val="00363834"/>
    <w:rsid w:val="00375E27"/>
    <w:rsid w:val="00384764"/>
    <w:rsid w:val="003A2646"/>
    <w:rsid w:val="003A595D"/>
    <w:rsid w:val="003A70CF"/>
    <w:rsid w:val="003C40C4"/>
    <w:rsid w:val="003C630C"/>
    <w:rsid w:val="003D2476"/>
    <w:rsid w:val="003D281B"/>
    <w:rsid w:val="003E44FB"/>
    <w:rsid w:val="004110B8"/>
    <w:rsid w:val="00412630"/>
    <w:rsid w:val="00412768"/>
    <w:rsid w:val="00413A1E"/>
    <w:rsid w:val="004145F8"/>
    <w:rsid w:val="00434581"/>
    <w:rsid w:val="0043477E"/>
    <w:rsid w:val="004419F3"/>
    <w:rsid w:val="00447D0E"/>
    <w:rsid w:val="00454B27"/>
    <w:rsid w:val="004566E5"/>
    <w:rsid w:val="00456BBB"/>
    <w:rsid w:val="00477F3B"/>
    <w:rsid w:val="0048088E"/>
    <w:rsid w:val="00481C77"/>
    <w:rsid w:val="0048514C"/>
    <w:rsid w:val="0048672C"/>
    <w:rsid w:val="00490FFB"/>
    <w:rsid w:val="00491B70"/>
    <w:rsid w:val="004971CA"/>
    <w:rsid w:val="004A1415"/>
    <w:rsid w:val="004B2AB3"/>
    <w:rsid w:val="004C4CC9"/>
    <w:rsid w:val="004D1993"/>
    <w:rsid w:val="004E0D53"/>
    <w:rsid w:val="004F6411"/>
    <w:rsid w:val="004F67DB"/>
    <w:rsid w:val="004F6A51"/>
    <w:rsid w:val="0050450C"/>
    <w:rsid w:val="00533AA5"/>
    <w:rsid w:val="00540C71"/>
    <w:rsid w:val="0056516C"/>
    <w:rsid w:val="00567570"/>
    <w:rsid w:val="00574422"/>
    <w:rsid w:val="0057738F"/>
    <w:rsid w:val="00581358"/>
    <w:rsid w:val="00583C0D"/>
    <w:rsid w:val="00585A42"/>
    <w:rsid w:val="00587844"/>
    <w:rsid w:val="00587892"/>
    <w:rsid w:val="0059251D"/>
    <w:rsid w:val="005927D5"/>
    <w:rsid w:val="0059405A"/>
    <w:rsid w:val="005A21B0"/>
    <w:rsid w:val="005A239A"/>
    <w:rsid w:val="005A7597"/>
    <w:rsid w:val="005B088F"/>
    <w:rsid w:val="005B2A0D"/>
    <w:rsid w:val="005D33F9"/>
    <w:rsid w:val="005D3D73"/>
    <w:rsid w:val="005D5DF1"/>
    <w:rsid w:val="005E16D6"/>
    <w:rsid w:val="005E44B3"/>
    <w:rsid w:val="005F2B30"/>
    <w:rsid w:val="005F4EFD"/>
    <w:rsid w:val="005F5220"/>
    <w:rsid w:val="005F562C"/>
    <w:rsid w:val="005F5B55"/>
    <w:rsid w:val="00607155"/>
    <w:rsid w:val="00614005"/>
    <w:rsid w:val="0061766B"/>
    <w:rsid w:val="00624E24"/>
    <w:rsid w:val="006264B3"/>
    <w:rsid w:val="0064147C"/>
    <w:rsid w:val="00644E6A"/>
    <w:rsid w:val="006451B1"/>
    <w:rsid w:val="00645663"/>
    <w:rsid w:val="006462D2"/>
    <w:rsid w:val="006540C1"/>
    <w:rsid w:val="00654F54"/>
    <w:rsid w:val="00662085"/>
    <w:rsid w:val="00670908"/>
    <w:rsid w:val="006807C8"/>
    <w:rsid w:val="00683887"/>
    <w:rsid w:val="00683CEB"/>
    <w:rsid w:val="006A6196"/>
    <w:rsid w:val="006A679B"/>
    <w:rsid w:val="006B3051"/>
    <w:rsid w:val="006B45B8"/>
    <w:rsid w:val="006B74CB"/>
    <w:rsid w:val="006C4F94"/>
    <w:rsid w:val="006C5C27"/>
    <w:rsid w:val="006C6A4E"/>
    <w:rsid w:val="006D02AA"/>
    <w:rsid w:val="006E219C"/>
    <w:rsid w:val="006E21C3"/>
    <w:rsid w:val="006E4CBA"/>
    <w:rsid w:val="006E4FFB"/>
    <w:rsid w:val="006F3080"/>
    <w:rsid w:val="006F3838"/>
    <w:rsid w:val="006F671C"/>
    <w:rsid w:val="00702CBC"/>
    <w:rsid w:val="00705FA1"/>
    <w:rsid w:val="00707A5D"/>
    <w:rsid w:val="00712877"/>
    <w:rsid w:val="0073747E"/>
    <w:rsid w:val="00737BB9"/>
    <w:rsid w:val="0075068F"/>
    <w:rsid w:val="007550C1"/>
    <w:rsid w:val="00760E4F"/>
    <w:rsid w:val="0076199A"/>
    <w:rsid w:val="00762DAC"/>
    <w:rsid w:val="00762DD0"/>
    <w:rsid w:val="00766A0C"/>
    <w:rsid w:val="007711EF"/>
    <w:rsid w:val="00773738"/>
    <w:rsid w:val="007856B6"/>
    <w:rsid w:val="007902D9"/>
    <w:rsid w:val="00790E48"/>
    <w:rsid w:val="007911A2"/>
    <w:rsid w:val="007930F8"/>
    <w:rsid w:val="00797ED1"/>
    <w:rsid w:val="007A1A3B"/>
    <w:rsid w:val="007A310E"/>
    <w:rsid w:val="007A3700"/>
    <w:rsid w:val="007A608C"/>
    <w:rsid w:val="007B0339"/>
    <w:rsid w:val="007B1901"/>
    <w:rsid w:val="007B34C0"/>
    <w:rsid w:val="007B6AB0"/>
    <w:rsid w:val="007C032B"/>
    <w:rsid w:val="007C2D4B"/>
    <w:rsid w:val="007C42C6"/>
    <w:rsid w:val="007D032F"/>
    <w:rsid w:val="007E4A5D"/>
    <w:rsid w:val="007E4DA4"/>
    <w:rsid w:val="008026CF"/>
    <w:rsid w:val="00803C9B"/>
    <w:rsid w:val="0080772B"/>
    <w:rsid w:val="00810A78"/>
    <w:rsid w:val="00833858"/>
    <w:rsid w:val="008355C9"/>
    <w:rsid w:val="00836C80"/>
    <w:rsid w:val="00837FC0"/>
    <w:rsid w:val="008435AF"/>
    <w:rsid w:val="00844C4E"/>
    <w:rsid w:val="008466B5"/>
    <w:rsid w:val="008502A3"/>
    <w:rsid w:val="00852EBB"/>
    <w:rsid w:val="00853286"/>
    <w:rsid w:val="008641FB"/>
    <w:rsid w:val="008646EE"/>
    <w:rsid w:val="00870971"/>
    <w:rsid w:val="00874E1D"/>
    <w:rsid w:val="00875A9F"/>
    <w:rsid w:val="0087622A"/>
    <w:rsid w:val="00883E8B"/>
    <w:rsid w:val="00885482"/>
    <w:rsid w:val="008866CB"/>
    <w:rsid w:val="008975C2"/>
    <w:rsid w:val="008A6D6A"/>
    <w:rsid w:val="008B5B89"/>
    <w:rsid w:val="008B653F"/>
    <w:rsid w:val="008D1036"/>
    <w:rsid w:val="008D282C"/>
    <w:rsid w:val="009030BC"/>
    <w:rsid w:val="00906C4F"/>
    <w:rsid w:val="00913923"/>
    <w:rsid w:val="00915128"/>
    <w:rsid w:val="009155A3"/>
    <w:rsid w:val="00916207"/>
    <w:rsid w:val="00917461"/>
    <w:rsid w:val="00937C76"/>
    <w:rsid w:val="009477F2"/>
    <w:rsid w:val="009511E0"/>
    <w:rsid w:val="009612F5"/>
    <w:rsid w:val="00967059"/>
    <w:rsid w:val="009719C1"/>
    <w:rsid w:val="00973B25"/>
    <w:rsid w:val="009771A9"/>
    <w:rsid w:val="00980F2A"/>
    <w:rsid w:val="00985CF4"/>
    <w:rsid w:val="00987E3D"/>
    <w:rsid w:val="009B0313"/>
    <w:rsid w:val="009C7846"/>
    <w:rsid w:val="009D0486"/>
    <w:rsid w:val="009D351D"/>
    <w:rsid w:val="009D5B65"/>
    <w:rsid w:val="009E1CC5"/>
    <w:rsid w:val="009E600F"/>
    <w:rsid w:val="009F6E89"/>
    <w:rsid w:val="009F7592"/>
    <w:rsid w:val="00A00B3A"/>
    <w:rsid w:val="00A024B0"/>
    <w:rsid w:val="00A03AB3"/>
    <w:rsid w:val="00A10747"/>
    <w:rsid w:val="00A23211"/>
    <w:rsid w:val="00A246A1"/>
    <w:rsid w:val="00A342D4"/>
    <w:rsid w:val="00A56B76"/>
    <w:rsid w:val="00A603A3"/>
    <w:rsid w:val="00A64A07"/>
    <w:rsid w:val="00A73873"/>
    <w:rsid w:val="00A76F02"/>
    <w:rsid w:val="00A86E94"/>
    <w:rsid w:val="00A87195"/>
    <w:rsid w:val="00AA6D8C"/>
    <w:rsid w:val="00AB5C8D"/>
    <w:rsid w:val="00AC003C"/>
    <w:rsid w:val="00AD3BD3"/>
    <w:rsid w:val="00AD4D28"/>
    <w:rsid w:val="00AE30EA"/>
    <w:rsid w:val="00AE4F0F"/>
    <w:rsid w:val="00AE69F3"/>
    <w:rsid w:val="00AE7738"/>
    <w:rsid w:val="00AF01FA"/>
    <w:rsid w:val="00AF08A3"/>
    <w:rsid w:val="00AF2804"/>
    <w:rsid w:val="00AF3A2E"/>
    <w:rsid w:val="00AF5B04"/>
    <w:rsid w:val="00B0221A"/>
    <w:rsid w:val="00B346FF"/>
    <w:rsid w:val="00B36B49"/>
    <w:rsid w:val="00B45402"/>
    <w:rsid w:val="00B45530"/>
    <w:rsid w:val="00B5209C"/>
    <w:rsid w:val="00B65794"/>
    <w:rsid w:val="00B66844"/>
    <w:rsid w:val="00B74D2A"/>
    <w:rsid w:val="00B75108"/>
    <w:rsid w:val="00B81A1C"/>
    <w:rsid w:val="00B82EAB"/>
    <w:rsid w:val="00B86184"/>
    <w:rsid w:val="00B935A3"/>
    <w:rsid w:val="00B95DDE"/>
    <w:rsid w:val="00BA3CA0"/>
    <w:rsid w:val="00BA7E51"/>
    <w:rsid w:val="00BB0364"/>
    <w:rsid w:val="00BB3A42"/>
    <w:rsid w:val="00BB4562"/>
    <w:rsid w:val="00BD01CE"/>
    <w:rsid w:val="00BD0C4E"/>
    <w:rsid w:val="00BD7239"/>
    <w:rsid w:val="00BE417A"/>
    <w:rsid w:val="00BE641F"/>
    <w:rsid w:val="00BE6884"/>
    <w:rsid w:val="00BF3B5C"/>
    <w:rsid w:val="00BF3DD5"/>
    <w:rsid w:val="00BF4710"/>
    <w:rsid w:val="00BF586E"/>
    <w:rsid w:val="00C1260B"/>
    <w:rsid w:val="00C33959"/>
    <w:rsid w:val="00C36C26"/>
    <w:rsid w:val="00C3770D"/>
    <w:rsid w:val="00C37E74"/>
    <w:rsid w:val="00C426A6"/>
    <w:rsid w:val="00C447B8"/>
    <w:rsid w:val="00C452A9"/>
    <w:rsid w:val="00C512B0"/>
    <w:rsid w:val="00C5252A"/>
    <w:rsid w:val="00C57198"/>
    <w:rsid w:val="00C6159F"/>
    <w:rsid w:val="00C6201D"/>
    <w:rsid w:val="00C62211"/>
    <w:rsid w:val="00C62ADC"/>
    <w:rsid w:val="00C62FA6"/>
    <w:rsid w:val="00C669DE"/>
    <w:rsid w:val="00C7063C"/>
    <w:rsid w:val="00C72684"/>
    <w:rsid w:val="00C73382"/>
    <w:rsid w:val="00C7723F"/>
    <w:rsid w:val="00C86CA8"/>
    <w:rsid w:val="00C87345"/>
    <w:rsid w:val="00C87709"/>
    <w:rsid w:val="00C90F0D"/>
    <w:rsid w:val="00C932B5"/>
    <w:rsid w:val="00C97D88"/>
    <w:rsid w:val="00CA1DBB"/>
    <w:rsid w:val="00CA258E"/>
    <w:rsid w:val="00CA2B12"/>
    <w:rsid w:val="00CB1FB8"/>
    <w:rsid w:val="00CB6AEF"/>
    <w:rsid w:val="00CC5D60"/>
    <w:rsid w:val="00CD11ED"/>
    <w:rsid w:val="00CD2F99"/>
    <w:rsid w:val="00CE0C21"/>
    <w:rsid w:val="00CE6F9F"/>
    <w:rsid w:val="00CF7532"/>
    <w:rsid w:val="00D10512"/>
    <w:rsid w:val="00D20511"/>
    <w:rsid w:val="00D2199D"/>
    <w:rsid w:val="00D23F61"/>
    <w:rsid w:val="00D30BD8"/>
    <w:rsid w:val="00D35AE4"/>
    <w:rsid w:val="00D36F88"/>
    <w:rsid w:val="00D432AF"/>
    <w:rsid w:val="00D60D68"/>
    <w:rsid w:val="00D6391D"/>
    <w:rsid w:val="00D66921"/>
    <w:rsid w:val="00D71A42"/>
    <w:rsid w:val="00D72E52"/>
    <w:rsid w:val="00D8001E"/>
    <w:rsid w:val="00D86279"/>
    <w:rsid w:val="00D86BA8"/>
    <w:rsid w:val="00D90830"/>
    <w:rsid w:val="00DA0980"/>
    <w:rsid w:val="00DB3485"/>
    <w:rsid w:val="00DB52FB"/>
    <w:rsid w:val="00DD22D6"/>
    <w:rsid w:val="00DD4114"/>
    <w:rsid w:val="00DD59CA"/>
    <w:rsid w:val="00DD63F9"/>
    <w:rsid w:val="00DE494B"/>
    <w:rsid w:val="00DE57FB"/>
    <w:rsid w:val="00E02FD6"/>
    <w:rsid w:val="00E03BE7"/>
    <w:rsid w:val="00E07ABB"/>
    <w:rsid w:val="00E10F65"/>
    <w:rsid w:val="00E170A2"/>
    <w:rsid w:val="00E17D00"/>
    <w:rsid w:val="00E21927"/>
    <w:rsid w:val="00E259AD"/>
    <w:rsid w:val="00E337BD"/>
    <w:rsid w:val="00E33E34"/>
    <w:rsid w:val="00E33FA9"/>
    <w:rsid w:val="00E34B8F"/>
    <w:rsid w:val="00E36EBE"/>
    <w:rsid w:val="00E41226"/>
    <w:rsid w:val="00E505E7"/>
    <w:rsid w:val="00E5213E"/>
    <w:rsid w:val="00E52A46"/>
    <w:rsid w:val="00E5544E"/>
    <w:rsid w:val="00E60BA4"/>
    <w:rsid w:val="00E62143"/>
    <w:rsid w:val="00E626B8"/>
    <w:rsid w:val="00E64193"/>
    <w:rsid w:val="00E700D0"/>
    <w:rsid w:val="00E70D8C"/>
    <w:rsid w:val="00E72275"/>
    <w:rsid w:val="00E723FF"/>
    <w:rsid w:val="00E724C4"/>
    <w:rsid w:val="00E72A6A"/>
    <w:rsid w:val="00E7330B"/>
    <w:rsid w:val="00E96B73"/>
    <w:rsid w:val="00EA0AE4"/>
    <w:rsid w:val="00EA3D94"/>
    <w:rsid w:val="00EA6D0A"/>
    <w:rsid w:val="00EA7EE8"/>
    <w:rsid w:val="00EC5C79"/>
    <w:rsid w:val="00EC7ECE"/>
    <w:rsid w:val="00ED7269"/>
    <w:rsid w:val="00ED77FE"/>
    <w:rsid w:val="00EE01DE"/>
    <w:rsid w:val="00EF40E9"/>
    <w:rsid w:val="00EF443D"/>
    <w:rsid w:val="00F02452"/>
    <w:rsid w:val="00F05E0E"/>
    <w:rsid w:val="00F15E3B"/>
    <w:rsid w:val="00F20E2A"/>
    <w:rsid w:val="00F22757"/>
    <w:rsid w:val="00F25FCC"/>
    <w:rsid w:val="00F32249"/>
    <w:rsid w:val="00F3269F"/>
    <w:rsid w:val="00F4295C"/>
    <w:rsid w:val="00F4342D"/>
    <w:rsid w:val="00F44BA7"/>
    <w:rsid w:val="00F470A4"/>
    <w:rsid w:val="00F533EB"/>
    <w:rsid w:val="00F57A42"/>
    <w:rsid w:val="00F658AA"/>
    <w:rsid w:val="00F67C4E"/>
    <w:rsid w:val="00F75E62"/>
    <w:rsid w:val="00F81919"/>
    <w:rsid w:val="00F90007"/>
    <w:rsid w:val="00FA039D"/>
    <w:rsid w:val="00FA0FBC"/>
    <w:rsid w:val="00FA1D43"/>
    <w:rsid w:val="00FA1FA7"/>
    <w:rsid w:val="00FA21E3"/>
    <w:rsid w:val="00FA2A2B"/>
    <w:rsid w:val="00FA2BD0"/>
    <w:rsid w:val="00FA644D"/>
    <w:rsid w:val="00FB1316"/>
    <w:rsid w:val="00FC145D"/>
    <w:rsid w:val="00FC23A8"/>
    <w:rsid w:val="00FD0980"/>
    <w:rsid w:val="00FD69C9"/>
    <w:rsid w:val="00FE1111"/>
    <w:rsid w:val="00FE502B"/>
    <w:rsid w:val="00FE6AEB"/>
    <w:rsid w:val="00FF78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5:docId w15:val="{52A9661B-5A9C-4A1C-B82A-D10567B7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00F"/>
    <w:pPr>
      <w:spacing w:before="120" w:after="120"/>
    </w:pPr>
    <w:rPr>
      <w:rFonts w:asciiTheme="minorHAnsi" w:hAnsiTheme="minorHAnsi" w:cstheme="minorHAnsi"/>
      <w:sz w:val="22"/>
      <w:szCs w:val="22"/>
      <w:lang w:val="en-GB" w:eastAsia="en-US"/>
    </w:rPr>
  </w:style>
  <w:style w:type="paragraph" w:styleId="Heading1">
    <w:name w:val="heading 1"/>
    <w:basedOn w:val="Normal"/>
    <w:uiPriority w:val="9"/>
    <w:qFormat/>
    <w:rsid w:val="009E600F"/>
    <w:pPr>
      <w:pageBreakBefore/>
      <w:shd w:val="clear" w:color="auto" w:fill="D9D9D9" w:themeFill="background1" w:themeFillShade="D9"/>
      <w:outlineLvl w:val="0"/>
    </w:pPr>
    <w:rPr>
      <w:rFonts w:eastAsiaTheme="majorEastAsia"/>
      <w:bCs/>
      <w:color w:val="244061" w:themeColor="accent1" w:themeShade="80"/>
      <w:sz w:val="44"/>
      <w:szCs w:val="44"/>
      <w:lang w:val="en-AU" w:eastAsia="en-AU" w:bidi="en-US"/>
    </w:rPr>
  </w:style>
  <w:style w:type="paragraph" w:styleId="Heading2">
    <w:name w:val="heading 2"/>
    <w:basedOn w:val="Normal"/>
    <w:next w:val="Normal"/>
    <w:qFormat/>
    <w:rsid w:val="00CC5D60"/>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C5D60"/>
    <w:pPr>
      <w:tabs>
        <w:tab w:val="center" w:pos="4153"/>
        <w:tab w:val="right" w:pos="8306"/>
      </w:tabs>
    </w:pPr>
  </w:style>
  <w:style w:type="paragraph" w:styleId="Footer">
    <w:name w:val="footer"/>
    <w:basedOn w:val="Normal"/>
    <w:rsid w:val="00CC5D60"/>
    <w:pPr>
      <w:tabs>
        <w:tab w:val="center" w:pos="4153"/>
        <w:tab w:val="right" w:pos="8306"/>
      </w:tabs>
    </w:pPr>
  </w:style>
  <w:style w:type="character" w:styleId="CommentReference">
    <w:name w:val="annotation reference"/>
    <w:rsid w:val="0080772B"/>
    <w:rPr>
      <w:sz w:val="16"/>
      <w:szCs w:val="16"/>
    </w:rPr>
  </w:style>
  <w:style w:type="paragraph" w:styleId="CommentText">
    <w:name w:val="annotation text"/>
    <w:basedOn w:val="Normal"/>
    <w:link w:val="CommentTextChar"/>
    <w:rsid w:val="0080772B"/>
    <w:rPr>
      <w:sz w:val="20"/>
    </w:rPr>
  </w:style>
  <w:style w:type="character" w:customStyle="1" w:styleId="CommentTextChar">
    <w:name w:val="Comment Text Char"/>
    <w:link w:val="CommentText"/>
    <w:rsid w:val="0080772B"/>
    <w:rPr>
      <w:lang w:val="en-GB" w:eastAsia="en-US"/>
    </w:rPr>
  </w:style>
  <w:style w:type="paragraph" w:styleId="CommentSubject">
    <w:name w:val="annotation subject"/>
    <w:basedOn w:val="CommentText"/>
    <w:next w:val="CommentText"/>
    <w:link w:val="CommentSubjectChar"/>
    <w:rsid w:val="0080772B"/>
    <w:rPr>
      <w:b/>
      <w:bCs/>
    </w:rPr>
  </w:style>
  <w:style w:type="character" w:customStyle="1" w:styleId="CommentSubjectChar">
    <w:name w:val="Comment Subject Char"/>
    <w:link w:val="CommentSubject"/>
    <w:rsid w:val="0080772B"/>
    <w:rPr>
      <w:b/>
      <w:bCs/>
      <w:lang w:val="en-GB" w:eastAsia="en-US"/>
    </w:rPr>
  </w:style>
  <w:style w:type="paragraph" w:styleId="BalloonText">
    <w:name w:val="Balloon Text"/>
    <w:basedOn w:val="Normal"/>
    <w:link w:val="BalloonTextChar"/>
    <w:rsid w:val="0080772B"/>
    <w:rPr>
      <w:rFonts w:ascii="Tahoma" w:hAnsi="Tahoma" w:cs="Tahoma"/>
      <w:sz w:val="16"/>
      <w:szCs w:val="16"/>
    </w:rPr>
  </w:style>
  <w:style w:type="character" w:customStyle="1" w:styleId="BalloonTextChar">
    <w:name w:val="Balloon Text Char"/>
    <w:link w:val="BalloonText"/>
    <w:rsid w:val="0080772B"/>
    <w:rPr>
      <w:rFonts w:ascii="Tahoma" w:hAnsi="Tahoma" w:cs="Tahoma"/>
      <w:sz w:val="16"/>
      <w:szCs w:val="16"/>
      <w:lang w:val="en-GB" w:eastAsia="en-US"/>
    </w:rPr>
  </w:style>
  <w:style w:type="table" w:styleId="TableGrid">
    <w:name w:val="Table Grid"/>
    <w:basedOn w:val="TableNormal"/>
    <w:rsid w:val="00434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0042DB"/>
    <w:rPr>
      <w:sz w:val="24"/>
      <w:lang w:val="en-GB" w:eastAsia="en-US"/>
    </w:rPr>
  </w:style>
  <w:style w:type="paragraph" w:customStyle="1" w:styleId="QPHeading">
    <w:name w:val="QP Heading"/>
    <w:basedOn w:val="Normal"/>
    <w:rsid w:val="007C2D4B"/>
    <w:pPr>
      <w:numPr>
        <w:numId w:val="3"/>
      </w:numPr>
      <w:tabs>
        <w:tab w:val="left" w:pos="2340"/>
        <w:tab w:val="right" w:leader="dot" w:pos="9720"/>
      </w:tabs>
      <w:spacing w:before="240"/>
    </w:pPr>
    <w:rPr>
      <w:rFonts w:ascii="Arial" w:eastAsia="Times New Roman" w:hAnsi="Arial" w:cs="Arial"/>
      <w:b/>
      <w:bCs/>
      <w:sz w:val="20"/>
      <w:szCs w:val="24"/>
      <w:u w:val="single"/>
      <w:lang w:val="en-AU"/>
    </w:rPr>
  </w:style>
  <w:style w:type="paragraph" w:customStyle="1" w:styleId="QPSubHeading">
    <w:name w:val="QP Sub Heading"/>
    <w:basedOn w:val="Normal"/>
    <w:rsid w:val="007C2D4B"/>
    <w:pPr>
      <w:numPr>
        <w:ilvl w:val="1"/>
        <w:numId w:val="3"/>
      </w:numPr>
      <w:tabs>
        <w:tab w:val="left" w:pos="2340"/>
        <w:tab w:val="right" w:leader="dot" w:pos="9720"/>
      </w:tabs>
    </w:pPr>
    <w:rPr>
      <w:rFonts w:ascii="Arial" w:eastAsia="Times New Roman" w:hAnsi="Arial"/>
      <w:bCs/>
      <w:sz w:val="20"/>
      <w:szCs w:val="24"/>
      <w:lang w:val="en-AU"/>
    </w:rPr>
  </w:style>
  <w:style w:type="paragraph" w:customStyle="1" w:styleId="StyleQPSubHeadingCenturyGothic">
    <w:name w:val="Style QP Sub Heading + Century Gothic"/>
    <w:basedOn w:val="QPSubHeading"/>
    <w:link w:val="StyleQPSubHeadingCenturyGothicChar"/>
    <w:rsid w:val="007C2D4B"/>
    <w:rPr>
      <w:bCs w:val="0"/>
    </w:rPr>
  </w:style>
  <w:style w:type="character" w:customStyle="1" w:styleId="StyleQPSubHeadingCenturyGothicChar">
    <w:name w:val="Style QP Sub Heading + Century Gothic Char"/>
    <w:link w:val="StyleQPSubHeadingCenturyGothic"/>
    <w:rsid w:val="007C2D4B"/>
    <w:rPr>
      <w:rFonts w:ascii="Arial" w:eastAsia="Times New Roman" w:hAnsi="Arial"/>
      <w:szCs w:val="24"/>
      <w:lang w:eastAsia="en-US"/>
    </w:rPr>
  </w:style>
  <w:style w:type="paragraph" w:customStyle="1" w:styleId="StyleBodyTextIndentCenturyGothic">
    <w:name w:val="Style Body Text Indent + Century Gothic"/>
    <w:basedOn w:val="BodyTextIndent"/>
    <w:rsid w:val="007C2D4B"/>
    <w:pPr>
      <w:tabs>
        <w:tab w:val="left" w:pos="2340"/>
        <w:tab w:val="right" w:leader="dot" w:pos="9720"/>
      </w:tabs>
      <w:ind w:left="1134"/>
    </w:pPr>
    <w:rPr>
      <w:rFonts w:ascii="Arial" w:eastAsia="Times New Roman" w:hAnsi="Arial" w:cs="Arial"/>
      <w:sz w:val="20"/>
      <w:szCs w:val="24"/>
      <w:lang w:val="en-AU"/>
    </w:rPr>
  </w:style>
  <w:style w:type="paragraph" w:styleId="BodyTextIndent">
    <w:name w:val="Body Text Indent"/>
    <w:basedOn w:val="Normal"/>
    <w:link w:val="BodyTextIndentChar"/>
    <w:rsid w:val="007C2D4B"/>
    <w:pPr>
      <w:ind w:left="283"/>
    </w:pPr>
  </w:style>
  <w:style w:type="character" w:customStyle="1" w:styleId="BodyTextIndentChar">
    <w:name w:val="Body Text Indent Char"/>
    <w:link w:val="BodyTextIndent"/>
    <w:rsid w:val="007C2D4B"/>
    <w:rPr>
      <w:sz w:val="24"/>
      <w:lang w:val="en-GB" w:eastAsia="en-US"/>
    </w:rPr>
  </w:style>
  <w:style w:type="paragraph" w:customStyle="1" w:styleId="QABullets">
    <w:name w:val="QA Bullets"/>
    <w:basedOn w:val="Normal"/>
    <w:rsid w:val="007C2D4B"/>
    <w:pPr>
      <w:numPr>
        <w:numId w:val="4"/>
      </w:numPr>
      <w:tabs>
        <w:tab w:val="left" w:pos="1491"/>
        <w:tab w:val="left" w:pos="2340"/>
        <w:tab w:val="right" w:leader="dot" w:pos="9720"/>
      </w:tabs>
      <w:overflowPunct w:val="0"/>
      <w:autoSpaceDE w:val="0"/>
      <w:autoSpaceDN w:val="0"/>
      <w:adjustRightInd w:val="0"/>
      <w:textAlignment w:val="baseline"/>
    </w:pPr>
    <w:rPr>
      <w:rFonts w:ascii="Arial" w:eastAsia="Times New Roman" w:hAnsi="Arial" w:cs="Arial"/>
      <w:sz w:val="20"/>
      <w:lang w:val="en-AU"/>
    </w:rPr>
  </w:style>
  <w:style w:type="paragraph" w:customStyle="1" w:styleId="StyleQABulletsCenturyGothic">
    <w:name w:val="Style QA Bullets + Century Gothic"/>
    <w:basedOn w:val="QABullets"/>
    <w:link w:val="StyleQABulletsCenturyGothicChar"/>
    <w:rsid w:val="007C2D4B"/>
  </w:style>
  <w:style w:type="character" w:customStyle="1" w:styleId="StyleQABulletsCenturyGothicChar">
    <w:name w:val="Style QA Bullets + Century Gothic Char"/>
    <w:link w:val="StyleQABulletsCenturyGothic"/>
    <w:rsid w:val="007C2D4B"/>
    <w:rPr>
      <w:rFonts w:ascii="Arial" w:eastAsia="Times New Roman" w:hAnsi="Arial" w:cs="Arial"/>
      <w:lang w:eastAsia="en-US"/>
    </w:rPr>
  </w:style>
  <w:style w:type="paragraph" w:customStyle="1" w:styleId="StyleQABulletsCenturyGothicAfter2pt">
    <w:name w:val="Style QA Bullets + Century Gothic After:  2 pt"/>
    <w:basedOn w:val="QABullets"/>
    <w:rsid w:val="007B1901"/>
    <w:pPr>
      <w:numPr>
        <w:numId w:val="1"/>
      </w:numPr>
      <w:spacing w:after="40"/>
    </w:pPr>
    <w:rPr>
      <w:rFonts w:cs="Times New Roman"/>
    </w:rPr>
  </w:style>
  <w:style w:type="paragraph" w:customStyle="1" w:styleId="StyleHeading2">
    <w:name w:val="Style Heading 2"/>
    <w:basedOn w:val="Heading2"/>
    <w:rsid w:val="0087622A"/>
    <w:pPr>
      <w:keepNext w:val="0"/>
      <w:tabs>
        <w:tab w:val="left" w:pos="2340"/>
        <w:tab w:val="right" w:leader="dot" w:pos="9720"/>
      </w:tabs>
      <w:spacing w:before="80" w:after="40"/>
    </w:pPr>
    <w:rPr>
      <w:rFonts w:ascii="Arial" w:eastAsia="Times New Roman" w:hAnsi="Arial"/>
      <w:bCs/>
      <w:spacing w:val="-4"/>
      <w:kern w:val="28"/>
      <w:sz w:val="20"/>
      <w:lang w:val="en-US"/>
    </w:rPr>
  </w:style>
  <w:style w:type="paragraph" w:customStyle="1" w:styleId="StyleQPSubHeadingAfter2pt">
    <w:name w:val="Style QP Sub Heading + After:  2 pt"/>
    <w:basedOn w:val="Normal"/>
    <w:rsid w:val="0087622A"/>
    <w:pPr>
      <w:numPr>
        <w:numId w:val="18"/>
      </w:numPr>
      <w:tabs>
        <w:tab w:val="left" w:pos="2340"/>
        <w:tab w:val="right" w:leader="dot" w:pos="9720"/>
      </w:tabs>
    </w:pPr>
    <w:rPr>
      <w:rFonts w:ascii="Arial" w:eastAsia="Times New Roman" w:hAnsi="Arial"/>
      <w:sz w:val="20"/>
      <w:lang w:val="en-AU"/>
    </w:rPr>
  </w:style>
  <w:style w:type="paragraph" w:customStyle="1" w:styleId="Char">
    <w:name w:val="Char"/>
    <w:basedOn w:val="Normal"/>
    <w:rsid w:val="001839D4"/>
    <w:rPr>
      <w:rFonts w:ascii="Arial" w:eastAsia="Times New Roman" w:hAnsi="Arial"/>
      <w:lang w:val="en-AU"/>
    </w:rPr>
  </w:style>
  <w:style w:type="paragraph" w:customStyle="1" w:styleId="Bullets">
    <w:name w:val="Bullets"/>
    <w:basedOn w:val="Normal"/>
    <w:link w:val="BulletsChar"/>
    <w:qFormat/>
    <w:rsid w:val="00E170A2"/>
    <w:pPr>
      <w:numPr>
        <w:numId w:val="24"/>
      </w:numPr>
      <w:spacing w:before="0"/>
    </w:pPr>
    <w:rPr>
      <w:rFonts w:eastAsiaTheme="minorEastAsia"/>
      <w:lang w:val="en-US" w:bidi="en-US"/>
    </w:rPr>
  </w:style>
  <w:style w:type="character" w:customStyle="1" w:styleId="BulletsChar">
    <w:name w:val="Bullets Char"/>
    <w:basedOn w:val="DefaultParagraphFont"/>
    <w:link w:val="Bullets"/>
    <w:rsid w:val="00E170A2"/>
    <w:rPr>
      <w:rFonts w:asciiTheme="minorHAnsi" w:eastAsiaTheme="minorEastAsia" w:hAnsiTheme="minorHAnsi" w:cstheme="minorHAnsi"/>
      <w:sz w:val="22"/>
      <w:szCs w:val="22"/>
      <w:lang w:val="en-US" w:eastAsia="en-US" w:bidi="en-US"/>
    </w:rPr>
  </w:style>
  <w:style w:type="character" w:styleId="Hyperlink">
    <w:name w:val="Hyperlink"/>
    <w:basedOn w:val="DefaultParagraphFont"/>
    <w:uiPriority w:val="99"/>
    <w:unhideWhenUsed/>
    <w:rsid w:val="00262BD4"/>
    <w:rPr>
      <w:color w:val="103E64"/>
      <w:u w:val="single"/>
    </w:rPr>
  </w:style>
  <w:style w:type="paragraph" w:styleId="NormalWeb">
    <w:name w:val="Normal (Web)"/>
    <w:basedOn w:val="Normal"/>
    <w:uiPriority w:val="99"/>
    <w:semiHidden/>
    <w:unhideWhenUsed/>
    <w:rsid w:val="00262BD4"/>
    <w:pPr>
      <w:spacing w:before="100" w:beforeAutospacing="1" w:after="100" w:afterAutospacing="1"/>
    </w:pPr>
    <w:rPr>
      <w:rFonts w:ascii="Times New Roman" w:eastAsia="Times New Roman" w:hAnsi="Times New Roman" w:cs="Times New Roman"/>
      <w:sz w:val="24"/>
      <w:szCs w:val="24"/>
      <w:lang w:val="en-AU" w:eastAsia="en-AU"/>
    </w:rPr>
  </w:style>
  <w:style w:type="character" w:styleId="Strong">
    <w:name w:val="Strong"/>
    <w:basedOn w:val="DefaultParagraphFont"/>
    <w:uiPriority w:val="22"/>
    <w:qFormat/>
    <w:rsid w:val="00262BD4"/>
    <w:rPr>
      <w:b/>
      <w:bCs/>
    </w:rPr>
  </w:style>
  <w:style w:type="paragraph" w:styleId="ListParagraph">
    <w:name w:val="List Paragraph"/>
    <w:basedOn w:val="Normal"/>
    <w:uiPriority w:val="34"/>
    <w:qFormat/>
    <w:rsid w:val="001E630D"/>
    <w:pPr>
      <w:ind w:left="720"/>
      <w:contextualSpacing/>
    </w:pPr>
  </w:style>
  <w:style w:type="paragraph" w:customStyle="1" w:styleId="Default">
    <w:name w:val="Default"/>
    <w:rsid w:val="005F2B3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147701">
      <w:bodyDiv w:val="1"/>
      <w:marLeft w:val="0"/>
      <w:marRight w:val="0"/>
      <w:marTop w:val="0"/>
      <w:marBottom w:val="0"/>
      <w:divBdr>
        <w:top w:val="none" w:sz="0" w:space="0" w:color="auto"/>
        <w:left w:val="none" w:sz="0" w:space="0" w:color="auto"/>
        <w:bottom w:val="none" w:sz="0" w:space="0" w:color="auto"/>
        <w:right w:val="none" w:sz="0" w:space="0" w:color="auto"/>
      </w:divBdr>
      <w:divsChild>
        <w:div w:id="1160343572">
          <w:marLeft w:val="0"/>
          <w:marRight w:val="0"/>
          <w:marTop w:val="0"/>
          <w:marBottom w:val="0"/>
          <w:divBdr>
            <w:top w:val="none" w:sz="0" w:space="0" w:color="auto"/>
            <w:left w:val="none" w:sz="0" w:space="0" w:color="auto"/>
            <w:bottom w:val="none" w:sz="0" w:space="0" w:color="auto"/>
            <w:right w:val="none" w:sz="0" w:space="0" w:color="auto"/>
          </w:divBdr>
          <w:divsChild>
            <w:div w:id="1057243142">
              <w:marLeft w:val="0"/>
              <w:marRight w:val="0"/>
              <w:marTop w:val="0"/>
              <w:marBottom w:val="0"/>
              <w:divBdr>
                <w:top w:val="none" w:sz="0" w:space="0" w:color="auto"/>
                <w:left w:val="none" w:sz="0" w:space="0" w:color="auto"/>
                <w:bottom w:val="none" w:sz="0" w:space="0" w:color="auto"/>
                <w:right w:val="none" w:sz="0" w:space="0" w:color="auto"/>
              </w:divBdr>
              <w:divsChild>
                <w:div w:id="1795099507">
                  <w:marLeft w:val="0"/>
                  <w:marRight w:val="0"/>
                  <w:marTop w:val="0"/>
                  <w:marBottom w:val="0"/>
                  <w:divBdr>
                    <w:top w:val="none" w:sz="0" w:space="0" w:color="auto"/>
                    <w:left w:val="none" w:sz="0" w:space="0" w:color="auto"/>
                    <w:bottom w:val="none" w:sz="0" w:space="0" w:color="auto"/>
                    <w:right w:val="none" w:sz="0" w:space="0" w:color="auto"/>
                  </w:divBdr>
                  <w:divsChild>
                    <w:div w:id="527332026">
                      <w:marLeft w:val="0"/>
                      <w:marRight w:val="0"/>
                      <w:marTop w:val="0"/>
                      <w:marBottom w:val="0"/>
                      <w:divBdr>
                        <w:top w:val="none" w:sz="0" w:space="0" w:color="auto"/>
                        <w:left w:val="none" w:sz="0" w:space="0" w:color="auto"/>
                        <w:bottom w:val="none" w:sz="0" w:space="0" w:color="auto"/>
                        <w:right w:val="none" w:sz="0" w:space="0" w:color="auto"/>
                      </w:divBdr>
                      <w:divsChild>
                        <w:div w:id="372534220">
                          <w:marLeft w:val="0"/>
                          <w:marRight w:val="0"/>
                          <w:marTop w:val="30"/>
                          <w:marBottom w:val="0"/>
                          <w:divBdr>
                            <w:top w:val="none" w:sz="0" w:space="0" w:color="auto"/>
                            <w:left w:val="none" w:sz="0" w:space="0" w:color="auto"/>
                            <w:bottom w:val="none" w:sz="0" w:space="0" w:color="auto"/>
                            <w:right w:val="none" w:sz="0" w:space="0" w:color="auto"/>
                          </w:divBdr>
                          <w:divsChild>
                            <w:div w:id="1306275907">
                              <w:marLeft w:val="0"/>
                              <w:marRight w:val="0"/>
                              <w:marTop w:val="0"/>
                              <w:marBottom w:val="0"/>
                              <w:divBdr>
                                <w:top w:val="none" w:sz="0" w:space="0" w:color="auto"/>
                                <w:left w:val="none" w:sz="0" w:space="0" w:color="auto"/>
                                <w:bottom w:val="none" w:sz="0" w:space="0" w:color="auto"/>
                                <w:right w:val="none" w:sz="0" w:space="0" w:color="auto"/>
                              </w:divBdr>
                              <w:divsChild>
                                <w:div w:id="2091077843">
                                  <w:marLeft w:val="0"/>
                                  <w:marRight w:val="0"/>
                                  <w:marTop w:val="0"/>
                                  <w:marBottom w:val="0"/>
                                  <w:divBdr>
                                    <w:top w:val="none" w:sz="0" w:space="0" w:color="auto"/>
                                    <w:left w:val="none" w:sz="0" w:space="0" w:color="auto"/>
                                    <w:bottom w:val="none" w:sz="0" w:space="0" w:color="auto"/>
                                    <w:right w:val="none" w:sz="0" w:space="0" w:color="auto"/>
                                  </w:divBdr>
                                  <w:divsChild>
                                    <w:div w:id="1833520934">
                                      <w:marLeft w:val="0"/>
                                      <w:marRight w:val="0"/>
                                      <w:marTop w:val="0"/>
                                      <w:marBottom w:val="0"/>
                                      <w:divBdr>
                                        <w:top w:val="none" w:sz="0" w:space="0" w:color="auto"/>
                                        <w:left w:val="none" w:sz="0" w:space="0" w:color="auto"/>
                                        <w:bottom w:val="none" w:sz="0" w:space="0" w:color="auto"/>
                                        <w:right w:val="none" w:sz="0" w:space="0" w:color="auto"/>
                                      </w:divBdr>
                                      <w:divsChild>
                                        <w:div w:id="1907032257">
                                          <w:marLeft w:val="0"/>
                                          <w:marRight w:val="0"/>
                                          <w:marTop w:val="0"/>
                                          <w:marBottom w:val="0"/>
                                          <w:divBdr>
                                            <w:top w:val="none" w:sz="0" w:space="0" w:color="auto"/>
                                            <w:left w:val="none" w:sz="0" w:space="0" w:color="auto"/>
                                            <w:bottom w:val="none" w:sz="0" w:space="0" w:color="auto"/>
                                            <w:right w:val="none" w:sz="0" w:space="0" w:color="auto"/>
                                          </w:divBdr>
                                          <w:divsChild>
                                            <w:div w:id="995691914">
                                              <w:marLeft w:val="0"/>
                                              <w:marRight w:val="0"/>
                                              <w:marTop w:val="0"/>
                                              <w:marBottom w:val="0"/>
                                              <w:divBdr>
                                                <w:top w:val="none" w:sz="0" w:space="0" w:color="auto"/>
                                                <w:left w:val="none" w:sz="0" w:space="0" w:color="auto"/>
                                                <w:bottom w:val="none" w:sz="0" w:space="0" w:color="auto"/>
                                                <w:right w:val="none" w:sz="0" w:space="0" w:color="auto"/>
                                              </w:divBdr>
                                              <w:divsChild>
                                                <w:div w:id="1341735782">
                                                  <w:marLeft w:val="0"/>
                                                  <w:marRight w:val="0"/>
                                                  <w:marTop w:val="0"/>
                                                  <w:marBottom w:val="450"/>
                                                  <w:divBdr>
                                                    <w:top w:val="none" w:sz="0" w:space="0" w:color="auto"/>
                                                    <w:left w:val="none" w:sz="0" w:space="0" w:color="auto"/>
                                                    <w:bottom w:val="none" w:sz="0" w:space="0" w:color="auto"/>
                                                    <w:right w:val="none" w:sz="0" w:space="0" w:color="auto"/>
                                                  </w:divBdr>
                                                  <w:divsChild>
                                                    <w:div w:id="4923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tudent@parkerbrent.com.au"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Documents\grEI%20matters\Clients\ParkerBrent\Compliance%20Project\Procedures\Work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1C934-1B13-4E87-8F19-31263E29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WorkIns</Template>
  <TotalTime>18</TotalTime>
  <Pages>7</Pages>
  <Words>1960</Words>
  <Characters>10368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ELICOS</dc:subject>
  <dc:creator>Sarah</dc:creator>
  <cp:lastModifiedBy>vanessa</cp:lastModifiedBy>
  <cp:revision>4</cp:revision>
  <cp:lastPrinted>2016-05-16T07:05:00Z</cp:lastPrinted>
  <dcterms:created xsi:type="dcterms:W3CDTF">2019-01-31T02:53:00Z</dcterms:created>
  <dcterms:modified xsi:type="dcterms:W3CDTF">2019-01-31T04:28:00Z</dcterms:modified>
</cp:coreProperties>
</file>